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23B6E8">
      <w:pPr>
        <w:jc w:val="center"/>
        <w:rPr>
          <w:rFonts w:hint="eastAsia" w:ascii="方正小标宋_GBK" w:eastAsia="方正小标宋_GBK"/>
          <w:sz w:val="44"/>
          <w:szCs w:val="44"/>
        </w:rPr>
      </w:pPr>
      <w:bookmarkStart w:id="114" w:name="_GoBack"/>
      <w:bookmarkEnd w:id="114"/>
    </w:p>
    <w:p w14:paraId="5830D97D">
      <w:pPr>
        <w:jc w:val="center"/>
        <w:rPr>
          <w:rFonts w:ascii="方正小标宋_GBK" w:eastAsia="方正小标宋_GBK"/>
          <w:sz w:val="44"/>
          <w:szCs w:val="44"/>
        </w:rPr>
      </w:pPr>
    </w:p>
    <w:p w14:paraId="156A9641">
      <w:pPr>
        <w:jc w:val="center"/>
        <w:rPr>
          <w:rFonts w:ascii="方正小标宋_GBK" w:eastAsia="方正小标宋_GBK"/>
          <w:sz w:val="44"/>
          <w:szCs w:val="44"/>
        </w:rPr>
      </w:pPr>
    </w:p>
    <w:p w14:paraId="1B562AE6">
      <w:pPr>
        <w:jc w:val="center"/>
        <w:rPr>
          <w:rFonts w:ascii="方正小标宋_GBK" w:eastAsia="方正小标宋_GBK"/>
          <w:sz w:val="44"/>
          <w:szCs w:val="44"/>
        </w:rPr>
      </w:pPr>
    </w:p>
    <w:p w14:paraId="0BA50BF8">
      <w:pPr>
        <w:jc w:val="center"/>
        <w:rPr>
          <w:rFonts w:ascii="方正小标宋_GBK" w:eastAsia="方正小标宋_GBK"/>
          <w:sz w:val="44"/>
          <w:szCs w:val="44"/>
        </w:rPr>
      </w:pPr>
    </w:p>
    <w:p w14:paraId="414C5322">
      <w:pPr>
        <w:jc w:val="center"/>
        <w:rPr>
          <w:rFonts w:ascii="方正小标宋_GBK" w:eastAsia="方正小标宋_GBK"/>
          <w:sz w:val="44"/>
          <w:szCs w:val="44"/>
        </w:rPr>
      </w:pPr>
      <w:r>
        <w:rPr>
          <w:rFonts w:hint="eastAsia" w:ascii="方正小标宋_GBK" w:eastAsia="方正小标宋_GBK"/>
          <w:sz w:val="44"/>
          <w:szCs w:val="44"/>
        </w:rPr>
        <w:t>黄石市市政设施养护管理技术导则</w:t>
      </w:r>
    </w:p>
    <w:p w14:paraId="1BF88997">
      <w:pPr>
        <w:jc w:val="center"/>
        <w:rPr>
          <w:rFonts w:ascii="方正小标宋_GBK" w:eastAsia="方正小标宋_GBK"/>
          <w:sz w:val="36"/>
          <w:szCs w:val="36"/>
        </w:rPr>
      </w:pPr>
      <w:r>
        <w:rPr>
          <w:rFonts w:hint="eastAsia" w:ascii="方正小标宋_GBK" w:eastAsia="方正小标宋_GBK"/>
          <w:sz w:val="36"/>
          <w:szCs w:val="36"/>
        </w:rPr>
        <w:t>第一部分</w:t>
      </w:r>
    </w:p>
    <w:p w14:paraId="5708BFB8">
      <w:pPr>
        <w:jc w:val="center"/>
        <w:rPr>
          <w:rFonts w:ascii="方正小标宋_GBK" w:eastAsia="方正小标宋_GBK"/>
          <w:sz w:val="36"/>
          <w:szCs w:val="36"/>
        </w:rPr>
      </w:pPr>
      <w:r>
        <w:rPr>
          <w:rFonts w:hint="eastAsia" w:ascii="方正小标宋_GBK" w:eastAsia="方正小标宋_GBK"/>
          <w:sz w:val="36"/>
          <w:szCs w:val="36"/>
        </w:rPr>
        <w:t>城市道路养护管理技术导则</w:t>
      </w:r>
    </w:p>
    <w:p w14:paraId="671D0819">
      <w:pPr>
        <w:jc w:val="center"/>
        <w:rPr>
          <w:rFonts w:ascii="方正小标宋_GBK" w:eastAsia="方正小标宋_GBK"/>
          <w:sz w:val="36"/>
          <w:szCs w:val="36"/>
        </w:rPr>
      </w:pPr>
      <w:r>
        <w:rPr>
          <w:rFonts w:hint="eastAsia" w:ascii="方正小标宋_GBK" w:eastAsia="方正小标宋_GBK"/>
          <w:sz w:val="36"/>
          <w:szCs w:val="36"/>
        </w:rPr>
        <w:t>（征求意见稿）</w:t>
      </w:r>
    </w:p>
    <w:p w14:paraId="10BC9894">
      <w:pPr>
        <w:jc w:val="center"/>
        <w:rPr>
          <w:rFonts w:ascii="方正小标宋_GBK" w:eastAsia="方正小标宋_GBK"/>
          <w:sz w:val="44"/>
          <w:szCs w:val="44"/>
        </w:rPr>
      </w:pPr>
    </w:p>
    <w:p w14:paraId="724CCB17"/>
    <w:p w14:paraId="684CA307"/>
    <w:p w14:paraId="57B0C5B4"/>
    <w:p w14:paraId="3BA2287A"/>
    <w:p w14:paraId="40227299"/>
    <w:p w14:paraId="2B1529C7"/>
    <w:p w14:paraId="4D37D443"/>
    <w:p w14:paraId="4EBF68DF"/>
    <w:p w14:paraId="76FEF14A"/>
    <w:p w14:paraId="5F88CBB3">
      <w:pPr>
        <w:jc w:val="center"/>
        <w:rPr>
          <w:rFonts w:ascii="黑体" w:hAnsi="黑体" w:eastAsia="黑体"/>
          <w:sz w:val="36"/>
          <w:szCs w:val="36"/>
        </w:rPr>
      </w:pPr>
      <w:r>
        <w:rPr>
          <w:rFonts w:hint="eastAsia" w:ascii="黑体" w:hAnsi="黑体" w:eastAsia="黑体"/>
          <w:sz w:val="36"/>
          <w:szCs w:val="36"/>
        </w:rPr>
        <w:t>前  言</w:t>
      </w:r>
    </w:p>
    <w:p w14:paraId="449C939B">
      <w:pPr>
        <w:jc w:val="center"/>
        <w:rPr>
          <w:rFonts w:ascii="黑体" w:hAnsi="黑体" w:eastAsia="黑体"/>
          <w:sz w:val="44"/>
          <w:szCs w:val="44"/>
        </w:rPr>
      </w:pPr>
    </w:p>
    <w:p w14:paraId="658CFAAD">
      <w:pPr>
        <w:ind w:firstLine="560" w:firstLineChars="200"/>
        <w:rPr>
          <w:rFonts w:ascii="宋体" w:hAnsi="宋体"/>
          <w:szCs w:val="28"/>
        </w:rPr>
      </w:pPr>
      <w:r>
        <w:rPr>
          <w:rFonts w:hint="eastAsia" w:ascii="宋体" w:hAnsi="宋体"/>
          <w:szCs w:val="28"/>
        </w:rPr>
        <w:t>为做好城市道路养护管理工作，规范养护管理行为，提升城市道路服务水平，总结黄石城市道路养护养护管理</w:t>
      </w:r>
      <w:r>
        <w:rPr>
          <w:rFonts w:ascii="宋体" w:hAnsi="宋体"/>
          <w:szCs w:val="28"/>
        </w:rPr>
        <w:t>的实践经验，根据《城镇道路养护技术规范》（CJJ 36-2016</w:t>
      </w:r>
      <w:r>
        <w:rPr>
          <w:rFonts w:hint="eastAsia" w:ascii="宋体" w:hAnsi="宋体"/>
          <w:szCs w:val="28"/>
        </w:rPr>
        <w:t>）等文件要求，经广泛调查研究，编制本导则。</w:t>
      </w:r>
    </w:p>
    <w:p w14:paraId="305D2E83">
      <w:pPr>
        <w:ind w:firstLine="560" w:firstLineChars="200"/>
        <w:rPr>
          <w:rFonts w:ascii="宋体" w:hAnsi="宋体"/>
          <w:szCs w:val="28"/>
        </w:rPr>
      </w:pPr>
      <w:r>
        <w:rPr>
          <w:rFonts w:hint="eastAsia" w:ascii="宋体" w:hAnsi="宋体"/>
          <w:szCs w:val="28"/>
        </w:rPr>
        <w:t>本导则的主要内容：</w:t>
      </w:r>
      <w:r>
        <w:rPr>
          <w:rFonts w:ascii="宋体" w:hAnsi="宋体"/>
          <w:szCs w:val="28"/>
        </w:rPr>
        <w:t>基本规定、道路检查与评价、沥青路面</w:t>
      </w:r>
      <w:r>
        <w:rPr>
          <w:rFonts w:hint="eastAsia" w:ascii="宋体" w:hAnsi="宋体"/>
          <w:szCs w:val="28"/>
        </w:rPr>
        <w:t>养护</w:t>
      </w:r>
      <w:r>
        <w:rPr>
          <w:rFonts w:ascii="宋体" w:hAnsi="宋体"/>
          <w:szCs w:val="28"/>
        </w:rPr>
        <w:t>、水泥混凝土路面</w:t>
      </w:r>
      <w:r>
        <w:rPr>
          <w:rFonts w:hint="eastAsia" w:ascii="宋体" w:hAnsi="宋体"/>
          <w:szCs w:val="28"/>
        </w:rPr>
        <w:t>养护</w:t>
      </w:r>
      <w:r>
        <w:rPr>
          <w:rFonts w:ascii="宋体" w:hAnsi="宋体"/>
          <w:szCs w:val="28"/>
        </w:rPr>
        <w:t>、人行道</w:t>
      </w:r>
      <w:r>
        <w:rPr>
          <w:rFonts w:hint="eastAsia" w:ascii="宋体" w:hAnsi="宋体"/>
          <w:szCs w:val="28"/>
        </w:rPr>
        <w:t>养护</w:t>
      </w:r>
      <w:r>
        <w:rPr>
          <w:rFonts w:ascii="宋体" w:hAnsi="宋体"/>
          <w:szCs w:val="28"/>
        </w:rPr>
        <w:t>、路基</w:t>
      </w:r>
      <w:r>
        <w:rPr>
          <w:rFonts w:hint="eastAsia" w:ascii="宋体" w:hAnsi="宋体"/>
          <w:szCs w:val="28"/>
        </w:rPr>
        <w:t>养护</w:t>
      </w:r>
      <w:r>
        <w:rPr>
          <w:rFonts w:ascii="宋体" w:hAnsi="宋体"/>
          <w:szCs w:val="28"/>
        </w:rPr>
        <w:t>、附属设施</w:t>
      </w:r>
      <w:r>
        <w:rPr>
          <w:rFonts w:hint="eastAsia" w:ascii="宋体" w:hAnsi="宋体"/>
          <w:szCs w:val="28"/>
        </w:rPr>
        <w:t>养护</w:t>
      </w:r>
      <w:r>
        <w:rPr>
          <w:rFonts w:ascii="宋体" w:hAnsi="宋体"/>
          <w:szCs w:val="28"/>
        </w:rPr>
        <w:t>、养护作业安全防护、养护工程检查与验收、技术档案管理</w:t>
      </w:r>
      <w:r>
        <w:rPr>
          <w:rFonts w:hint="eastAsia" w:ascii="宋体" w:hAnsi="宋体"/>
          <w:szCs w:val="28"/>
        </w:rPr>
        <w:t>。</w:t>
      </w:r>
    </w:p>
    <w:p w14:paraId="1E92CBF9">
      <w:pPr>
        <w:ind w:firstLine="560" w:firstLineChars="200"/>
        <w:rPr>
          <w:rFonts w:ascii="宋体" w:hAnsi="宋体"/>
          <w:szCs w:val="28"/>
        </w:rPr>
      </w:pPr>
      <w:r>
        <w:rPr>
          <w:rFonts w:hint="eastAsia" w:ascii="宋体" w:hAnsi="宋体"/>
          <w:szCs w:val="28"/>
        </w:rPr>
        <w:t>本导则主要编制单位：黄石市</w:t>
      </w:r>
      <w:r>
        <w:rPr>
          <w:rFonts w:hint="eastAsia"/>
        </w:rPr>
        <w:t>城市管理执法委员会、</w:t>
      </w:r>
      <w:r>
        <w:t>黄石市市政公用局</w:t>
      </w:r>
      <w:r>
        <w:rPr>
          <w:rFonts w:hint="eastAsia"/>
        </w:rPr>
        <w:t>、</w:t>
      </w:r>
      <w:r>
        <w:t>湖北省标准化与质量研究院</w:t>
      </w:r>
      <w:r>
        <w:rPr>
          <w:rFonts w:hint="eastAsia"/>
        </w:rPr>
        <w:t>、</w:t>
      </w:r>
      <w:r>
        <w:t>湖北兴天瑞工程有限公司</w:t>
      </w:r>
      <w:r>
        <w:rPr>
          <w:rFonts w:hint="eastAsia"/>
        </w:rPr>
        <w:t>、</w:t>
      </w:r>
      <w:r>
        <w:t>湖北楚天联发路桥养护有限公司</w:t>
      </w:r>
      <w:r>
        <w:rPr>
          <w:rFonts w:hint="eastAsia"/>
        </w:rPr>
        <w:t>、</w:t>
      </w:r>
      <w:r>
        <w:t>黄石市市政园林设计研究院</w:t>
      </w:r>
      <w:r>
        <w:rPr>
          <w:rFonts w:hint="eastAsia"/>
        </w:rPr>
        <w:t>、</w:t>
      </w:r>
      <w:r>
        <w:t>中都工程设计有限公司</w:t>
      </w:r>
      <w:r>
        <w:rPr>
          <w:rFonts w:hint="eastAsia"/>
        </w:rPr>
        <w:t>。</w:t>
      </w:r>
    </w:p>
    <w:p w14:paraId="316C84B6">
      <w:pPr>
        <w:ind w:firstLine="560" w:firstLineChars="200"/>
        <w:rPr>
          <w:rFonts w:ascii="宋体" w:hAnsi="宋体"/>
          <w:szCs w:val="28"/>
        </w:rPr>
      </w:pPr>
      <w:r>
        <w:rPr>
          <w:rFonts w:hint="eastAsia" w:ascii="宋体" w:hAnsi="宋体"/>
          <w:szCs w:val="28"/>
        </w:rPr>
        <w:t>本导则主要起草人：陆惠萍、胡泉、吴金辉、杨剑、刘丹云、黄奇、宋振浩、蒋科进、吴小冬。</w:t>
      </w:r>
    </w:p>
    <w:p w14:paraId="2B5BD0E9">
      <w:pPr>
        <w:ind w:firstLine="560" w:firstLineChars="200"/>
        <w:rPr>
          <w:rFonts w:ascii="宋体" w:hAnsi="宋体"/>
          <w:szCs w:val="28"/>
        </w:rPr>
      </w:pPr>
    </w:p>
    <w:p w14:paraId="222486C7">
      <w:pPr>
        <w:ind w:firstLine="560" w:firstLineChars="200"/>
        <w:jc w:val="both"/>
        <w:rPr>
          <w:rFonts w:ascii="宋体" w:hAnsi="宋体"/>
          <w:color w:val="FF0000"/>
          <w:szCs w:val="28"/>
        </w:rPr>
      </w:pPr>
      <w:r>
        <w:rPr>
          <w:rFonts w:hint="eastAsia" w:ascii="宋体" w:hAnsi="宋体"/>
          <w:szCs w:val="28"/>
        </w:rPr>
        <w:t>本导则由黄石市市政公用局负责管理和解释。执行过程中如有</w:t>
      </w:r>
      <w:r>
        <w:rPr>
          <w:rFonts w:hint="eastAsia"/>
        </w:rPr>
        <w:t>意见或建议，请联系黄石市市政公用局（联系电话：</w:t>
      </w:r>
      <w:r>
        <w:t>0714-6570882</w:t>
      </w:r>
      <w:r>
        <w:rPr>
          <w:rFonts w:hint="eastAsia"/>
        </w:rPr>
        <w:t>，地址：黄石广州路2</w:t>
      </w:r>
      <w:r>
        <w:t>1</w:t>
      </w:r>
      <w:r>
        <w:rPr>
          <w:rFonts w:hint="eastAsia"/>
        </w:rPr>
        <w:t>号）。</w:t>
      </w:r>
    </w:p>
    <w:p w14:paraId="0F540906">
      <w:pPr>
        <w:rPr>
          <w:rFonts w:ascii="宋体" w:hAnsi="宋体"/>
          <w:szCs w:val="28"/>
        </w:rPr>
      </w:pPr>
    </w:p>
    <w:p w14:paraId="7FB5B79C">
      <w:pPr>
        <w:widowControl/>
        <w:rPr>
          <w:rFonts w:ascii="黑体" w:hAnsi="黑体" w:eastAsia="黑体"/>
          <w:sz w:val="44"/>
          <w:szCs w:val="44"/>
        </w:rPr>
      </w:pPr>
      <w:r>
        <w:rPr>
          <w:rFonts w:ascii="黑体" w:hAnsi="黑体" w:eastAsia="黑体"/>
          <w:sz w:val="44"/>
          <w:szCs w:val="44"/>
        </w:rPr>
        <w:br w:type="page"/>
      </w:r>
    </w:p>
    <w:sdt>
      <w:sdtPr>
        <w:rPr>
          <w:rFonts w:ascii="Times New Roman" w:hAnsi="Times New Roman" w:eastAsia="宋体" w:cstheme="minorBidi"/>
          <w:color w:val="auto"/>
          <w:kern w:val="2"/>
          <w:sz w:val="28"/>
          <w:szCs w:val="22"/>
          <w:lang w:val="zh-CN"/>
        </w:rPr>
        <w:id w:val="-162170072"/>
        <w:docPartObj>
          <w:docPartGallery w:val="Table of Contents"/>
          <w:docPartUnique/>
        </w:docPartObj>
      </w:sdtPr>
      <w:sdtEndPr>
        <w:rPr>
          <w:rFonts w:ascii="Times New Roman" w:hAnsi="Times New Roman" w:eastAsia="宋体" w:cstheme="minorBidi"/>
          <w:b/>
          <w:bCs/>
          <w:color w:val="auto"/>
          <w:kern w:val="2"/>
          <w:sz w:val="28"/>
          <w:szCs w:val="22"/>
          <w:lang w:val="zh-CN"/>
        </w:rPr>
      </w:sdtEndPr>
      <w:sdtContent>
        <w:p w14:paraId="7556BE8B">
          <w:pPr>
            <w:pStyle w:val="25"/>
            <w:spacing w:before="156" w:beforeLines="50" w:after="156" w:afterLines="50" w:line="240" w:lineRule="auto"/>
            <w:jc w:val="center"/>
            <w:rPr>
              <w:rFonts w:ascii="黑体" w:hAnsi="黑体" w:eastAsia="黑体"/>
              <w:color w:val="auto"/>
              <w:sz w:val="36"/>
              <w:szCs w:val="36"/>
            </w:rPr>
          </w:pPr>
          <w:r>
            <w:rPr>
              <w:rFonts w:ascii="黑体" w:hAnsi="黑体" w:eastAsia="黑体"/>
              <w:color w:val="auto"/>
              <w:sz w:val="36"/>
              <w:szCs w:val="36"/>
              <w:lang w:val="zh-CN"/>
            </w:rPr>
            <w:t>目</w:t>
          </w:r>
          <w:r>
            <w:rPr>
              <w:rFonts w:hint="eastAsia" w:ascii="黑体" w:hAnsi="黑体" w:eastAsia="黑体"/>
              <w:color w:val="auto"/>
              <w:sz w:val="36"/>
              <w:szCs w:val="36"/>
              <w:lang w:val="zh-CN"/>
            </w:rPr>
            <w:t xml:space="preserve">  </w:t>
          </w:r>
          <w:r>
            <w:rPr>
              <w:rFonts w:ascii="黑体" w:hAnsi="黑体" w:eastAsia="黑体"/>
              <w:color w:val="auto"/>
              <w:sz w:val="36"/>
              <w:szCs w:val="36"/>
              <w:lang w:val="zh-CN"/>
            </w:rPr>
            <w:t>录</w:t>
          </w:r>
        </w:p>
        <w:p w14:paraId="5EEF8DE6">
          <w:pPr>
            <w:pStyle w:val="10"/>
            <w:tabs>
              <w:tab w:val="right" w:leader="dot" w:pos="8296"/>
            </w:tabs>
            <w:rPr>
              <w:rFonts w:asciiTheme="minorHAnsi" w:hAnsiTheme="minorHAnsi" w:eastAsiaTheme="minorEastAsia"/>
              <w:sz w:val="21"/>
            </w:rPr>
          </w:pPr>
          <w:r>
            <w:fldChar w:fldCharType="begin"/>
          </w:r>
          <w:r>
            <w:instrText xml:space="preserve"> TOC \o "1-2" \h \z \u </w:instrText>
          </w:r>
          <w:r>
            <w:fldChar w:fldCharType="separate"/>
          </w:r>
          <w:r>
            <w:fldChar w:fldCharType="begin"/>
          </w:r>
          <w:r>
            <w:instrText xml:space="preserve"> HYPERLINK \l "_Toc200377196" </w:instrText>
          </w:r>
          <w:r>
            <w:fldChar w:fldCharType="separate"/>
          </w:r>
          <w:r>
            <w:rPr>
              <w:rStyle w:val="18"/>
            </w:rPr>
            <w:t>1 总则</w:t>
          </w:r>
          <w:r>
            <w:tab/>
          </w:r>
          <w:r>
            <w:fldChar w:fldCharType="begin"/>
          </w:r>
          <w:r>
            <w:instrText xml:space="preserve"> PAGEREF _Toc200377196 \h </w:instrText>
          </w:r>
          <w:r>
            <w:fldChar w:fldCharType="separate"/>
          </w:r>
          <w:r>
            <w:t>1</w:t>
          </w:r>
          <w:r>
            <w:fldChar w:fldCharType="end"/>
          </w:r>
          <w:r>
            <w:fldChar w:fldCharType="end"/>
          </w:r>
        </w:p>
        <w:p w14:paraId="6D1B4D78">
          <w:pPr>
            <w:pStyle w:val="10"/>
            <w:tabs>
              <w:tab w:val="right" w:leader="dot" w:pos="8296"/>
            </w:tabs>
            <w:rPr>
              <w:rFonts w:asciiTheme="minorHAnsi" w:hAnsiTheme="minorHAnsi" w:eastAsiaTheme="minorEastAsia"/>
              <w:sz w:val="21"/>
            </w:rPr>
          </w:pPr>
          <w:r>
            <w:fldChar w:fldCharType="begin"/>
          </w:r>
          <w:r>
            <w:instrText xml:space="preserve"> HYPERLINK \l "_Toc200377197" </w:instrText>
          </w:r>
          <w:r>
            <w:fldChar w:fldCharType="separate"/>
          </w:r>
          <w:r>
            <w:rPr>
              <w:rStyle w:val="18"/>
            </w:rPr>
            <w:t>2 术语</w:t>
          </w:r>
          <w:r>
            <w:tab/>
          </w:r>
          <w:r>
            <w:fldChar w:fldCharType="begin"/>
          </w:r>
          <w:r>
            <w:instrText xml:space="preserve"> PAGEREF _Toc200377197 \h </w:instrText>
          </w:r>
          <w:r>
            <w:fldChar w:fldCharType="separate"/>
          </w:r>
          <w:r>
            <w:t>1</w:t>
          </w:r>
          <w:r>
            <w:fldChar w:fldCharType="end"/>
          </w:r>
          <w:r>
            <w:fldChar w:fldCharType="end"/>
          </w:r>
        </w:p>
        <w:p w14:paraId="09C174FC">
          <w:pPr>
            <w:pStyle w:val="10"/>
            <w:tabs>
              <w:tab w:val="right" w:leader="dot" w:pos="8296"/>
            </w:tabs>
            <w:rPr>
              <w:rFonts w:asciiTheme="minorHAnsi" w:hAnsiTheme="minorHAnsi" w:eastAsiaTheme="minorEastAsia"/>
              <w:sz w:val="21"/>
            </w:rPr>
          </w:pPr>
          <w:r>
            <w:fldChar w:fldCharType="begin"/>
          </w:r>
          <w:r>
            <w:instrText xml:space="preserve"> HYPERLINK \l "_Toc200377202" </w:instrText>
          </w:r>
          <w:r>
            <w:fldChar w:fldCharType="separate"/>
          </w:r>
          <w:r>
            <w:rPr>
              <w:rStyle w:val="18"/>
            </w:rPr>
            <w:t>3 基本规定</w:t>
          </w:r>
          <w:r>
            <w:tab/>
          </w:r>
          <w:r>
            <w:fldChar w:fldCharType="begin"/>
          </w:r>
          <w:r>
            <w:instrText xml:space="preserve"> PAGEREF _Toc200377202 \h </w:instrText>
          </w:r>
          <w:r>
            <w:fldChar w:fldCharType="separate"/>
          </w:r>
          <w:r>
            <w:t>2</w:t>
          </w:r>
          <w:r>
            <w:fldChar w:fldCharType="end"/>
          </w:r>
          <w:r>
            <w:fldChar w:fldCharType="end"/>
          </w:r>
        </w:p>
        <w:p w14:paraId="1F0BEDDE">
          <w:pPr>
            <w:pStyle w:val="10"/>
            <w:tabs>
              <w:tab w:val="right" w:leader="dot" w:pos="8296"/>
            </w:tabs>
            <w:rPr>
              <w:rFonts w:asciiTheme="minorHAnsi" w:hAnsiTheme="minorHAnsi" w:eastAsiaTheme="minorEastAsia"/>
              <w:sz w:val="21"/>
            </w:rPr>
          </w:pPr>
          <w:r>
            <w:fldChar w:fldCharType="begin"/>
          </w:r>
          <w:r>
            <w:instrText xml:space="preserve"> HYPERLINK \l "_Toc200377209" </w:instrText>
          </w:r>
          <w:r>
            <w:fldChar w:fldCharType="separate"/>
          </w:r>
          <w:r>
            <w:rPr>
              <w:rStyle w:val="18"/>
            </w:rPr>
            <w:t>4 道路检查与评价</w:t>
          </w:r>
          <w:r>
            <w:tab/>
          </w:r>
          <w:r>
            <w:fldChar w:fldCharType="begin"/>
          </w:r>
          <w:r>
            <w:instrText xml:space="preserve"> PAGEREF _Toc200377209 \h </w:instrText>
          </w:r>
          <w:r>
            <w:fldChar w:fldCharType="separate"/>
          </w:r>
          <w:r>
            <w:t>3</w:t>
          </w:r>
          <w:r>
            <w:fldChar w:fldCharType="end"/>
          </w:r>
          <w:r>
            <w:fldChar w:fldCharType="end"/>
          </w:r>
        </w:p>
        <w:p w14:paraId="0B6B876B">
          <w:pPr>
            <w:pStyle w:val="11"/>
            <w:tabs>
              <w:tab w:val="right" w:leader="dot" w:pos="8296"/>
            </w:tabs>
            <w:ind w:left="560"/>
            <w:rPr>
              <w:rFonts w:asciiTheme="minorHAnsi" w:hAnsiTheme="minorHAnsi" w:eastAsiaTheme="minorEastAsia"/>
              <w:sz w:val="21"/>
            </w:rPr>
          </w:pPr>
          <w:r>
            <w:fldChar w:fldCharType="begin"/>
          </w:r>
          <w:r>
            <w:instrText xml:space="preserve"> HYPERLINK \l "_Toc200377210" </w:instrText>
          </w:r>
          <w:r>
            <w:fldChar w:fldCharType="separate"/>
          </w:r>
          <w:r>
            <w:rPr>
              <w:rStyle w:val="18"/>
            </w:rPr>
            <w:t>4.1 一般规定</w:t>
          </w:r>
          <w:r>
            <w:tab/>
          </w:r>
          <w:r>
            <w:fldChar w:fldCharType="begin"/>
          </w:r>
          <w:r>
            <w:instrText xml:space="preserve"> PAGEREF _Toc200377210 \h </w:instrText>
          </w:r>
          <w:r>
            <w:fldChar w:fldCharType="separate"/>
          </w:r>
          <w:r>
            <w:t>3</w:t>
          </w:r>
          <w:r>
            <w:fldChar w:fldCharType="end"/>
          </w:r>
          <w:r>
            <w:fldChar w:fldCharType="end"/>
          </w:r>
        </w:p>
        <w:p w14:paraId="3FE1B5E8">
          <w:pPr>
            <w:pStyle w:val="11"/>
            <w:tabs>
              <w:tab w:val="right" w:leader="dot" w:pos="8296"/>
            </w:tabs>
            <w:ind w:left="560"/>
            <w:rPr>
              <w:rFonts w:asciiTheme="minorHAnsi" w:hAnsiTheme="minorHAnsi" w:eastAsiaTheme="minorEastAsia"/>
              <w:sz w:val="21"/>
            </w:rPr>
          </w:pPr>
          <w:r>
            <w:fldChar w:fldCharType="begin"/>
          </w:r>
          <w:r>
            <w:instrText xml:space="preserve"> HYPERLINK \l "_Toc200377211" </w:instrText>
          </w:r>
          <w:r>
            <w:fldChar w:fldCharType="separate"/>
          </w:r>
          <w:r>
            <w:rPr>
              <w:rStyle w:val="18"/>
            </w:rPr>
            <w:t>4.2 日常巡查</w:t>
          </w:r>
          <w:r>
            <w:tab/>
          </w:r>
          <w:r>
            <w:fldChar w:fldCharType="begin"/>
          </w:r>
          <w:r>
            <w:instrText xml:space="preserve"> PAGEREF _Toc200377211 \h </w:instrText>
          </w:r>
          <w:r>
            <w:fldChar w:fldCharType="separate"/>
          </w:r>
          <w:r>
            <w:t>3</w:t>
          </w:r>
          <w:r>
            <w:fldChar w:fldCharType="end"/>
          </w:r>
          <w:r>
            <w:fldChar w:fldCharType="end"/>
          </w:r>
        </w:p>
        <w:p w14:paraId="015C64BE">
          <w:pPr>
            <w:pStyle w:val="11"/>
            <w:tabs>
              <w:tab w:val="right" w:leader="dot" w:pos="8296"/>
            </w:tabs>
            <w:ind w:left="560"/>
            <w:rPr>
              <w:rFonts w:asciiTheme="minorHAnsi" w:hAnsiTheme="minorHAnsi" w:eastAsiaTheme="minorEastAsia"/>
              <w:sz w:val="21"/>
            </w:rPr>
          </w:pPr>
          <w:r>
            <w:fldChar w:fldCharType="begin"/>
          </w:r>
          <w:r>
            <w:instrText xml:space="preserve"> HYPERLINK \l "_Toc200377212" </w:instrText>
          </w:r>
          <w:r>
            <w:fldChar w:fldCharType="separate"/>
          </w:r>
          <w:r>
            <w:rPr>
              <w:rStyle w:val="18"/>
            </w:rPr>
            <w:t>4.3 定期检测</w:t>
          </w:r>
          <w:r>
            <w:tab/>
          </w:r>
          <w:r>
            <w:fldChar w:fldCharType="begin"/>
          </w:r>
          <w:r>
            <w:instrText xml:space="preserve"> PAGEREF _Toc200377212 \h </w:instrText>
          </w:r>
          <w:r>
            <w:fldChar w:fldCharType="separate"/>
          </w:r>
          <w:r>
            <w:t>5</w:t>
          </w:r>
          <w:r>
            <w:fldChar w:fldCharType="end"/>
          </w:r>
          <w:r>
            <w:fldChar w:fldCharType="end"/>
          </w:r>
        </w:p>
        <w:p w14:paraId="76F428AD">
          <w:pPr>
            <w:pStyle w:val="11"/>
            <w:tabs>
              <w:tab w:val="right" w:leader="dot" w:pos="8296"/>
            </w:tabs>
            <w:ind w:left="560"/>
            <w:rPr>
              <w:rFonts w:asciiTheme="minorHAnsi" w:hAnsiTheme="minorHAnsi" w:eastAsiaTheme="minorEastAsia"/>
              <w:sz w:val="21"/>
            </w:rPr>
          </w:pPr>
          <w:r>
            <w:fldChar w:fldCharType="begin"/>
          </w:r>
          <w:r>
            <w:instrText xml:space="preserve"> HYPERLINK \l "_Toc200377213" </w:instrText>
          </w:r>
          <w:r>
            <w:fldChar w:fldCharType="separate"/>
          </w:r>
          <w:r>
            <w:rPr>
              <w:rStyle w:val="18"/>
            </w:rPr>
            <w:t>4.4 特殊检测</w:t>
          </w:r>
          <w:r>
            <w:tab/>
          </w:r>
          <w:r>
            <w:fldChar w:fldCharType="begin"/>
          </w:r>
          <w:r>
            <w:instrText xml:space="preserve"> PAGEREF _Toc200377213 \h </w:instrText>
          </w:r>
          <w:r>
            <w:fldChar w:fldCharType="separate"/>
          </w:r>
          <w:r>
            <w:t>5</w:t>
          </w:r>
          <w:r>
            <w:fldChar w:fldCharType="end"/>
          </w:r>
          <w:r>
            <w:fldChar w:fldCharType="end"/>
          </w:r>
        </w:p>
        <w:p w14:paraId="7E52996B">
          <w:pPr>
            <w:pStyle w:val="10"/>
            <w:tabs>
              <w:tab w:val="right" w:leader="dot" w:pos="8296"/>
            </w:tabs>
            <w:rPr>
              <w:rFonts w:asciiTheme="minorHAnsi" w:hAnsiTheme="minorHAnsi" w:eastAsiaTheme="minorEastAsia"/>
              <w:sz w:val="21"/>
            </w:rPr>
          </w:pPr>
          <w:r>
            <w:fldChar w:fldCharType="begin"/>
          </w:r>
          <w:r>
            <w:instrText xml:space="preserve"> HYPERLINK \l "_Toc200377214" </w:instrText>
          </w:r>
          <w:r>
            <w:fldChar w:fldCharType="separate"/>
          </w:r>
          <w:r>
            <w:rPr>
              <w:rStyle w:val="18"/>
            </w:rPr>
            <w:t>5 沥青路面养护</w:t>
          </w:r>
          <w:r>
            <w:tab/>
          </w:r>
          <w:r>
            <w:fldChar w:fldCharType="begin"/>
          </w:r>
          <w:r>
            <w:instrText xml:space="preserve"> PAGEREF _Toc200377214 \h </w:instrText>
          </w:r>
          <w:r>
            <w:fldChar w:fldCharType="separate"/>
          </w:r>
          <w:r>
            <w:t>6</w:t>
          </w:r>
          <w:r>
            <w:fldChar w:fldCharType="end"/>
          </w:r>
          <w:r>
            <w:fldChar w:fldCharType="end"/>
          </w:r>
        </w:p>
        <w:p w14:paraId="526C6E24">
          <w:pPr>
            <w:pStyle w:val="11"/>
            <w:tabs>
              <w:tab w:val="right" w:leader="dot" w:pos="8296"/>
            </w:tabs>
            <w:ind w:left="560"/>
            <w:rPr>
              <w:rFonts w:asciiTheme="minorHAnsi" w:hAnsiTheme="minorHAnsi" w:eastAsiaTheme="minorEastAsia"/>
              <w:sz w:val="21"/>
            </w:rPr>
          </w:pPr>
          <w:r>
            <w:fldChar w:fldCharType="begin"/>
          </w:r>
          <w:r>
            <w:instrText xml:space="preserve"> HYPERLINK \l "_Toc200377215" </w:instrText>
          </w:r>
          <w:r>
            <w:fldChar w:fldCharType="separate"/>
          </w:r>
          <w:r>
            <w:rPr>
              <w:rStyle w:val="18"/>
            </w:rPr>
            <w:t>5.1 常见病害</w:t>
          </w:r>
          <w:r>
            <w:tab/>
          </w:r>
          <w:r>
            <w:fldChar w:fldCharType="begin"/>
          </w:r>
          <w:r>
            <w:instrText xml:space="preserve"> PAGEREF _Toc200377215 \h </w:instrText>
          </w:r>
          <w:r>
            <w:fldChar w:fldCharType="separate"/>
          </w:r>
          <w:r>
            <w:t>6</w:t>
          </w:r>
          <w:r>
            <w:fldChar w:fldCharType="end"/>
          </w:r>
          <w:r>
            <w:fldChar w:fldCharType="end"/>
          </w:r>
        </w:p>
        <w:p w14:paraId="5F119DC2">
          <w:pPr>
            <w:pStyle w:val="11"/>
            <w:tabs>
              <w:tab w:val="right" w:leader="dot" w:pos="8296"/>
            </w:tabs>
            <w:ind w:left="560"/>
            <w:rPr>
              <w:rFonts w:asciiTheme="minorHAnsi" w:hAnsiTheme="minorHAnsi" w:eastAsiaTheme="minorEastAsia"/>
              <w:sz w:val="21"/>
            </w:rPr>
          </w:pPr>
          <w:r>
            <w:fldChar w:fldCharType="begin"/>
          </w:r>
          <w:r>
            <w:instrText xml:space="preserve"> HYPERLINK \l "_Toc200377216" </w:instrText>
          </w:r>
          <w:r>
            <w:fldChar w:fldCharType="separate"/>
          </w:r>
          <w:r>
            <w:rPr>
              <w:rStyle w:val="18"/>
            </w:rPr>
            <w:t>5.2 病害处治</w:t>
          </w:r>
          <w:r>
            <w:tab/>
          </w:r>
          <w:r>
            <w:fldChar w:fldCharType="begin"/>
          </w:r>
          <w:r>
            <w:instrText xml:space="preserve"> PAGEREF _Toc200377216 \h </w:instrText>
          </w:r>
          <w:r>
            <w:fldChar w:fldCharType="separate"/>
          </w:r>
          <w:r>
            <w:t>9</w:t>
          </w:r>
          <w:r>
            <w:fldChar w:fldCharType="end"/>
          </w:r>
          <w:r>
            <w:fldChar w:fldCharType="end"/>
          </w:r>
        </w:p>
        <w:p w14:paraId="5099D8E8">
          <w:pPr>
            <w:pStyle w:val="10"/>
            <w:tabs>
              <w:tab w:val="right" w:leader="dot" w:pos="8296"/>
            </w:tabs>
            <w:rPr>
              <w:rFonts w:asciiTheme="minorHAnsi" w:hAnsiTheme="minorHAnsi" w:eastAsiaTheme="minorEastAsia"/>
              <w:sz w:val="21"/>
            </w:rPr>
          </w:pPr>
          <w:r>
            <w:fldChar w:fldCharType="begin"/>
          </w:r>
          <w:r>
            <w:instrText xml:space="preserve"> HYPERLINK \l "_Toc200377217" </w:instrText>
          </w:r>
          <w:r>
            <w:fldChar w:fldCharType="separate"/>
          </w:r>
          <w:r>
            <w:rPr>
              <w:rStyle w:val="18"/>
            </w:rPr>
            <w:t>6 水泥混凝土路面养护</w:t>
          </w:r>
          <w:r>
            <w:tab/>
          </w:r>
          <w:r>
            <w:fldChar w:fldCharType="begin"/>
          </w:r>
          <w:r>
            <w:instrText xml:space="preserve"> PAGEREF _Toc200377217 \h </w:instrText>
          </w:r>
          <w:r>
            <w:fldChar w:fldCharType="separate"/>
          </w:r>
          <w:r>
            <w:t>25</w:t>
          </w:r>
          <w:r>
            <w:fldChar w:fldCharType="end"/>
          </w:r>
          <w:r>
            <w:fldChar w:fldCharType="end"/>
          </w:r>
        </w:p>
        <w:p w14:paraId="7CE2C2F8">
          <w:pPr>
            <w:pStyle w:val="11"/>
            <w:tabs>
              <w:tab w:val="right" w:leader="dot" w:pos="8296"/>
            </w:tabs>
            <w:ind w:left="560"/>
            <w:rPr>
              <w:rFonts w:asciiTheme="minorHAnsi" w:hAnsiTheme="minorHAnsi" w:eastAsiaTheme="minorEastAsia"/>
              <w:sz w:val="21"/>
            </w:rPr>
          </w:pPr>
          <w:r>
            <w:fldChar w:fldCharType="begin"/>
          </w:r>
          <w:r>
            <w:instrText xml:space="preserve"> HYPERLINK \l "_Toc200377218" </w:instrText>
          </w:r>
          <w:r>
            <w:fldChar w:fldCharType="separate"/>
          </w:r>
          <w:r>
            <w:rPr>
              <w:rStyle w:val="18"/>
            </w:rPr>
            <w:t>6.1 常见病害</w:t>
          </w:r>
          <w:r>
            <w:tab/>
          </w:r>
          <w:r>
            <w:fldChar w:fldCharType="begin"/>
          </w:r>
          <w:r>
            <w:instrText xml:space="preserve"> PAGEREF _Toc200377218 \h </w:instrText>
          </w:r>
          <w:r>
            <w:fldChar w:fldCharType="separate"/>
          </w:r>
          <w:r>
            <w:t>25</w:t>
          </w:r>
          <w:r>
            <w:fldChar w:fldCharType="end"/>
          </w:r>
          <w:r>
            <w:fldChar w:fldCharType="end"/>
          </w:r>
        </w:p>
        <w:p w14:paraId="2652461E">
          <w:pPr>
            <w:pStyle w:val="11"/>
            <w:tabs>
              <w:tab w:val="right" w:leader="dot" w:pos="8296"/>
            </w:tabs>
            <w:ind w:left="560"/>
            <w:rPr>
              <w:rFonts w:asciiTheme="minorHAnsi" w:hAnsiTheme="minorHAnsi" w:eastAsiaTheme="minorEastAsia"/>
              <w:sz w:val="21"/>
            </w:rPr>
          </w:pPr>
          <w:r>
            <w:fldChar w:fldCharType="begin"/>
          </w:r>
          <w:r>
            <w:instrText xml:space="preserve"> HYPERLINK \l "_Toc200377219" </w:instrText>
          </w:r>
          <w:r>
            <w:fldChar w:fldCharType="separate"/>
          </w:r>
          <w:r>
            <w:rPr>
              <w:rStyle w:val="18"/>
            </w:rPr>
            <w:t>6.2 病害处治</w:t>
          </w:r>
          <w:r>
            <w:tab/>
          </w:r>
          <w:r>
            <w:fldChar w:fldCharType="begin"/>
          </w:r>
          <w:r>
            <w:instrText xml:space="preserve"> PAGEREF _Toc200377219 \h </w:instrText>
          </w:r>
          <w:r>
            <w:fldChar w:fldCharType="separate"/>
          </w:r>
          <w:r>
            <w:t>28</w:t>
          </w:r>
          <w:r>
            <w:fldChar w:fldCharType="end"/>
          </w:r>
          <w:r>
            <w:fldChar w:fldCharType="end"/>
          </w:r>
        </w:p>
        <w:p w14:paraId="3A35D9F2">
          <w:pPr>
            <w:pStyle w:val="10"/>
            <w:tabs>
              <w:tab w:val="right" w:leader="dot" w:pos="8296"/>
            </w:tabs>
            <w:rPr>
              <w:rFonts w:asciiTheme="minorHAnsi" w:hAnsiTheme="minorHAnsi" w:eastAsiaTheme="minorEastAsia"/>
              <w:sz w:val="21"/>
            </w:rPr>
          </w:pPr>
          <w:r>
            <w:fldChar w:fldCharType="begin"/>
          </w:r>
          <w:r>
            <w:instrText xml:space="preserve"> HYPERLINK \l "_Toc200377220" </w:instrText>
          </w:r>
          <w:r>
            <w:fldChar w:fldCharType="separate"/>
          </w:r>
          <w:r>
            <w:rPr>
              <w:rStyle w:val="18"/>
            </w:rPr>
            <w:t>7 人行道养护</w:t>
          </w:r>
          <w:r>
            <w:tab/>
          </w:r>
          <w:r>
            <w:fldChar w:fldCharType="begin"/>
          </w:r>
          <w:r>
            <w:instrText xml:space="preserve"> PAGEREF _Toc200377220 \h </w:instrText>
          </w:r>
          <w:r>
            <w:fldChar w:fldCharType="separate"/>
          </w:r>
          <w:r>
            <w:t>32</w:t>
          </w:r>
          <w:r>
            <w:fldChar w:fldCharType="end"/>
          </w:r>
          <w:r>
            <w:fldChar w:fldCharType="end"/>
          </w:r>
        </w:p>
        <w:p w14:paraId="3BD4F8A8">
          <w:pPr>
            <w:pStyle w:val="11"/>
            <w:tabs>
              <w:tab w:val="right" w:leader="dot" w:pos="8296"/>
            </w:tabs>
            <w:ind w:left="560"/>
            <w:rPr>
              <w:rFonts w:asciiTheme="minorHAnsi" w:hAnsiTheme="minorHAnsi" w:eastAsiaTheme="minorEastAsia"/>
              <w:sz w:val="21"/>
            </w:rPr>
          </w:pPr>
          <w:r>
            <w:fldChar w:fldCharType="begin"/>
          </w:r>
          <w:r>
            <w:instrText xml:space="preserve"> HYPERLINK \l "_Toc200377221" </w:instrText>
          </w:r>
          <w:r>
            <w:fldChar w:fldCharType="separate"/>
          </w:r>
          <w:r>
            <w:rPr>
              <w:rStyle w:val="18"/>
            </w:rPr>
            <w:t>7.1 常见病害</w:t>
          </w:r>
          <w:r>
            <w:tab/>
          </w:r>
          <w:r>
            <w:fldChar w:fldCharType="begin"/>
          </w:r>
          <w:r>
            <w:instrText xml:space="preserve"> PAGEREF _Toc200377221 \h </w:instrText>
          </w:r>
          <w:r>
            <w:fldChar w:fldCharType="separate"/>
          </w:r>
          <w:r>
            <w:t>32</w:t>
          </w:r>
          <w:r>
            <w:fldChar w:fldCharType="end"/>
          </w:r>
          <w:r>
            <w:fldChar w:fldCharType="end"/>
          </w:r>
        </w:p>
        <w:p w14:paraId="3DEC2762">
          <w:pPr>
            <w:pStyle w:val="11"/>
            <w:tabs>
              <w:tab w:val="right" w:leader="dot" w:pos="8296"/>
            </w:tabs>
            <w:ind w:left="560"/>
            <w:rPr>
              <w:rFonts w:asciiTheme="minorHAnsi" w:hAnsiTheme="minorHAnsi" w:eastAsiaTheme="minorEastAsia"/>
              <w:sz w:val="21"/>
            </w:rPr>
          </w:pPr>
          <w:r>
            <w:fldChar w:fldCharType="begin"/>
          </w:r>
          <w:r>
            <w:instrText xml:space="preserve"> HYPERLINK \l "_Toc200377222" </w:instrText>
          </w:r>
          <w:r>
            <w:fldChar w:fldCharType="separate"/>
          </w:r>
          <w:r>
            <w:rPr>
              <w:rStyle w:val="18"/>
            </w:rPr>
            <w:t>7.2 人行道维修</w:t>
          </w:r>
          <w:r>
            <w:tab/>
          </w:r>
          <w:r>
            <w:fldChar w:fldCharType="begin"/>
          </w:r>
          <w:r>
            <w:instrText xml:space="preserve"> PAGEREF _Toc200377222 \h </w:instrText>
          </w:r>
          <w:r>
            <w:fldChar w:fldCharType="separate"/>
          </w:r>
          <w:r>
            <w:t>33</w:t>
          </w:r>
          <w:r>
            <w:fldChar w:fldCharType="end"/>
          </w:r>
          <w:r>
            <w:fldChar w:fldCharType="end"/>
          </w:r>
        </w:p>
        <w:p w14:paraId="48FAEB03">
          <w:pPr>
            <w:pStyle w:val="10"/>
            <w:tabs>
              <w:tab w:val="right" w:leader="dot" w:pos="8296"/>
            </w:tabs>
            <w:rPr>
              <w:rFonts w:asciiTheme="minorHAnsi" w:hAnsiTheme="minorHAnsi" w:eastAsiaTheme="minorEastAsia"/>
              <w:sz w:val="21"/>
            </w:rPr>
          </w:pPr>
          <w:r>
            <w:fldChar w:fldCharType="begin"/>
          </w:r>
          <w:r>
            <w:instrText xml:space="preserve"> HYPERLINK \l "_Toc200377223" </w:instrText>
          </w:r>
          <w:r>
            <w:fldChar w:fldCharType="separate"/>
          </w:r>
          <w:r>
            <w:rPr>
              <w:rStyle w:val="18"/>
            </w:rPr>
            <w:t>8 路基养护</w:t>
          </w:r>
          <w:r>
            <w:tab/>
          </w:r>
          <w:r>
            <w:fldChar w:fldCharType="begin"/>
          </w:r>
          <w:r>
            <w:instrText xml:space="preserve"> PAGEREF _Toc200377223 \h </w:instrText>
          </w:r>
          <w:r>
            <w:fldChar w:fldCharType="separate"/>
          </w:r>
          <w:r>
            <w:t>33</w:t>
          </w:r>
          <w:r>
            <w:fldChar w:fldCharType="end"/>
          </w:r>
          <w:r>
            <w:fldChar w:fldCharType="end"/>
          </w:r>
        </w:p>
        <w:p w14:paraId="72F48123">
          <w:pPr>
            <w:pStyle w:val="11"/>
            <w:tabs>
              <w:tab w:val="right" w:leader="dot" w:pos="8296"/>
            </w:tabs>
            <w:ind w:left="560"/>
            <w:rPr>
              <w:rFonts w:asciiTheme="minorHAnsi" w:hAnsiTheme="minorHAnsi" w:eastAsiaTheme="minorEastAsia"/>
              <w:sz w:val="21"/>
            </w:rPr>
          </w:pPr>
          <w:r>
            <w:fldChar w:fldCharType="begin"/>
          </w:r>
          <w:r>
            <w:instrText xml:space="preserve"> HYPERLINK \l "_Toc200377224" </w:instrText>
          </w:r>
          <w:r>
            <w:fldChar w:fldCharType="separate"/>
          </w:r>
          <w:r>
            <w:rPr>
              <w:rStyle w:val="18"/>
            </w:rPr>
            <w:t>8.1 路基</w:t>
          </w:r>
          <w:r>
            <w:tab/>
          </w:r>
          <w:r>
            <w:fldChar w:fldCharType="begin"/>
          </w:r>
          <w:r>
            <w:instrText xml:space="preserve"> PAGEREF _Toc200377224 \h </w:instrText>
          </w:r>
          <w:r>
            <w:fldChar w:fldCharType="separate"/>
          </w:r>
          <w:r>
            <w:t>33</w:t>
          </w:r>
          <w:r>
            <w:fldChar w:fldCharType="end"/>
          </w:r>
          <w:r>
            <w:fldChar w:fldCharType="end"/>
          </w:r>
        </w:p>
        <w:p w14:paraId="325D90B5">
          <w:pPr>
            <w:pStyle w:val="11"/>
            <w:tabs>
              <w:tab w:val="right" w:leader="dot" w:pos="8296"/>
            </w:tabs>
            <w:ind w:left="560"/>
            <w:rPr>
              <w:rFonts w:asciiTheme="minorHAnsi" w:hAnsiTheme="minorHAnsi" w:eastAsiaTheme="minorEastAsia"/>
              <w:sz w:val="21"/>
            </w:rPr>
          </w:pPr>
          <w:r>
            <w:fldChar w:fldCharType="begin"/>
          </w:r>
          <w:r>
            <w:instrText xml:space="preserve"> HYPERLINK \l "_Toc200377225" </w:instrText>
          </w:r>
          <w:r>
            <w:fldChar w:fldCharType="separate"/>
          </w:r>
          <w:r>
            <w:rPr>
              <w:rStyle w:val="18"/>
            </w:rPr>
            <w:t>8.2 路肩</w:t>
          </w:r>
          <w:r>
            <w:tab/>
          </w:r>
          <w:r>
            <w:fldChar w:fldCharType="begin"/>
          </w:r>
          <w:r>
            <w:instrText xml:space="preserve"> PAGEREF _Toc200377225 \h </w:instrText>
          </w:r>
          <w:r>
            <w:fldChar w:fldCharType="separate"/>
          </w:r>
          <w:r>
            <w:t>34</w:t>
          </w:r>
          <w:r>
            <w:fldChar w:fldCharType="end"/>
          </w:r>
          <w:r>
            <w:fldChar w:fldCharType="end"/>
          </w:r>
        </w:p>
        <w:p w14:paraId="6FAFCDD7">
          <w:pPr>
            <w:pStyle w:val="11"/>
            <w:tabs>
              <w:tab w:val="right" w:leader="dot" w:pos="8296"/>
            </w:tabs>
            <w:ind w:left="560"/>
            <w:rPr>
              <w:rFonts w:asciiTheme="minorHAnsi" w:hAnsiTheme="minorHAnsi" w:eastAsiaTheme="minorEastAsia"/>
              <w:sz w:val="21"/>
            </w:rPr>
          </w:pPr>
          <w:r>
            <w:fldChar w:fldCharType="begin"/>
          </w:r>
          <w:r>
            <w:instrText xml:space="preserve"> HYPERLINK \l "_Toc200377226" </w:instrText>
          </w:r>
          <w:r>
            <w:fldChar w:fldCharType="separate"/>
          </w:r>
          <w:r>
            <w:rPr>
              <w:rStyle w:val="18"/>
            </w:rPr>
            <w:t>8.3 边坡</w:t>
          </w:r>
          <w:r>
            <w:tab/>
          </w:r>
          <w:r>
            <w:fldChar w:fldCharType="begin"/>
          </w:r>
          <w:r>
            <w:instrText xml:space="preserve"> PAGEREF _Toc200377226 \h </w:instrText>
          </w:r>
          <w:r>
            <w:fldChar w:fldCharType="separate"/>
          </w:r>
          <w:r>
            <w:t>35</w:t>
          </w:r>
          <w:r>
            <w:fldChar w:fldCharType="end"/>
          </w:r>
          <w:r>
            <w:fldChar w:fldCharType="end"/>
          </w:r>
        </w:p>
        <w:p w14:paraId="7D79EEB4">
          <w:pPr>
            <w:pStyle w:val="11"/>
            <w:tabs>
              <w:tab w:val="right" w:leader="dot" w:pos="8296"/>
            </w:tabs>
            <w:ind w:left="560"/>
            <w:rPr>
              <w:rFonts w:asciiTheme="minorHAnsi" w:hAnsiTheme="minorHAnsi" w:eastAsiaTheme="minorEastAsia"/>
              <w:sz w:val="21"/>
            </w:rPr>
          </w:pPr>
          <w:r>
            <w:fldChar w:fldCharType="begin"/>
          </w:r>
          <w:r>
            <w:instrText xml:space="preserve"> HYPERLINK \l "_Toc200377227" </w:instrText>
          </w:r>
          <w:r>
            <w:fldChar w:fldCharType="separate"/>
          </w:r>
          <w:r>
            <w:rPr>
              <w:rStyle w:val="18"/>
            </w:rPr>
            <w:t>8.4 挡土墙</w:t>
          </w:r>
          <w:r>
            <w:tab/>
          </w:r>
          <w:r>
            <w:fldChar w:fldCharType="begin"/>
          </w:r>
          <w:r>
            <w:instrText xml:space="preserve"> PAGEREF _Toc200377227 \h </w:instrText>
          </w:r>
          <w:r>
            <w:fldChar w:fldCharType="separate"/>
          </w:r>
          <w:r>
            <w:t>35</w:t>
          </w:r>
          <w:r>
            <w:fldChar w:fldCharType="end"/>
          </w:r>
          <w:r>
            <w:fldChar w:fldCharType="end"/>
          </w:r>
        </w:p>
        <w:p w14:paraId="6C930197">
          <w:pPr>
            <w:pStyle w:val="10"/>
            <w:tabs>
              <w:tab w:val="right" w:leader="dot" w:pos="8296"/>
            </w:tabs>
            <w:rPr>
              <w:rFonts w:asciiTheme="minorHAnsi" w:hAnsiTheme="minorHAnsi" w:eastAsiaTheme="minorEastAsia"/>
              <w:sz w:val="21"/>
            </w:rPr>
          </w:pPr>
          <w:r>
            <w:fldChar w:fldCharType="begin"/>
          </w:r>
          <w:r>
            <w:instrText xml:space="preserve"> HYPERLINK \l "_Toc200377228" </w:instrText>
          </w:r>
          <w:r>
            <w:fldChar w:fldCharType="separate"/>
          </w:r>
          <w:r>
            <w:rPr>
              <w:rStyle w:val="18"/>
            </w:rPr>
            <w:t>9 附属设施养护</w:t>
          </w:r>
          <w:r>
            <w:tab/>
          </w:r>
          <w:r>
            <w:fldChar w:fldCharType="begin"/>
          </w:r>
          <w:r>
            <w:instrText xml:space="preserve"> PAGEREF _Toc200377228 \h </w:instrText>
          </w:r>
          <w:r>
            <w:fldChar w:fldCharType="separate"/>
          </w:r>
          <w:r>
            <w:t>36</w:t>
          </w:r>
          <w:r>
            <w:fldChar w:fldCharType="end"/>
          </w:r>
          <w:r>
            <w:fldChar w:fldCharType="end"/>
          </w:r>
        </w:p>
        <w:p w14:paraId="780D1422">
          <w:pPr>
            <w:pStyle w:val="11"/>
            <w:tabs>
              <w:tab w:val="right" w:leader="dot" w:pos="8296"/>
            </w:tabs>
            <w:ind w:left="560"/>
            <w:rPr>
              <w:rFonts w:asciiTheme="minorHAnsi" w:hAnsiTheme="minorHAnsi" w:eastAsiaTheme="minorEastAsia"/>
              <w:sz w:val="21"/>
            </w:rPr>
          </w:pPr>
          <w:r>
            <w:fldChar w:fldCharType="begin"/>
          </w:r>
          <w:r>
            <w:instrText xml:space="preserve"> HYPERLINK \l "_Toc200377229" </w:instrText>
          </w:r>
          <w:r>
            <w:fldChar w:fldCharType="separate"/>
          </w:r>
          <w:r>
            <w:rPr>
              <w:rStyle w:val="18"/>
            </w:rPr>
            <w:t>9.1 无障碍设施</w:t>
          </w:r>
          <w:r>
            <w:tab/>
          </w:r>
          <w:r>
            <w:fldChar w:fldCharType="begin"/>
          </w:r>
          <w:r>
            <w:instrText xml:space="preserve"> PAGEREF _Toc200377229 \h </w:instrText>
          </w:r>
          <w:r>
            <w:fldChar w:fldCharType="separate"/>
          </w:r>
          <w:r>
            <w:t>36</w:t>
          </w:r>
          <w:r>
            <w:fldChar w:fldCharType="end"/>
          </w:r>
          <w:r>
            <w:fldChar w:fldCharType="end"/>
          </w:r>
        </w:p>
        <w:p w14:paraId="6C01E501">
          <w:pPr>
            <w:pStyle w:val="11"/>
            <w:tabs>
              <w:tab w:val="right" w:leader="dot" w:pos="8296"/>
            </w:tabs>
            <w:ind w:left="560"/>
            <w:rPr>
              <w:rFonts w:asciiTheme="minorHAnsi" w:hAnsiTheme="minorHAnsi" w:eastAsiaTheme="minorEastAsia"/>
              <w:sz w:val="21"/>
            </w:rPr>
          </w:pPr>
          <w:r>
            <w:fldChar w:fldCharType="begin"/>
          </w:r>
          <w:r>
            <w:instrText xml:space="preserve"> HYPERLINK \l "_Toc200377230" </w:instrText>
          </w:r>
          <w:r>
            <w:fldChar w:fldCharType="separate"/>
          </w:r>
          <w:r>
            <w:rPr>
              <w:rStyle w:val="18"/>
            </w:rPr>
            <w:t>9.2 边沟、排水沟、截水沟</w:t>
          </w:r>
          <w:r>
            <w:tab/>
          </w:r>
          <w:r>
            <w:fldChar w:fldCharType="begin"/>
          </w:r>
          <w:r>
            <w:instrText xml:space="preserve"> PAGEREF _Toc200377230 \h </w:instrText>
          </w:r>
          <w:r>
            <w:fldChar w:fldCharType="separate"/>
          </w:r>
          <w:r>
            <w:t>36</w:t>
          </w:r>
          <w:r>
            <w:fldChar w:fldCharType="end"/>
          </w:r>
          <w:r>
            <w:fldChar w:fldCharType="end"/>
          </w:r>
        </w:p>
        <w:p w14:paraId="738A7215">
          <w:pPr>
            <w:pStyle w:val="11"/>
            <w:tabs>
              <w:tab w:val="right" w:leader="dot" w:pos="8296"/>
            </w:tabs>
            <w:ind w:left="560"/>
            <w:rPr>
              <w:rFonts w:asciiTheme="minorHAnsi" w:hAnsiTheme="minorHAnsi" w:eastAsiaTheme="minorEastAsia"/>
              <w:sz w:val="21"/>
            </w:rPr>
          </w:pPr>
          <w:r>
            <w:fldChar w:fldCharType="begin"/>
          </w:r>
          <w:r>
            <w:instrText xml:space="preserve"> HYPERLINK \l "_Toc200377231" </w:instrText>
          </w:r>
          <w:r>
            <w:fldChar w:fldCharType="separate"/>
          </w:r>
          <w:r>
            <w:rPr>
              <w:rStyle w:val="18"/>
            </w:rPr>
            <w:t>9.3 检查井、雨水井</w:t>
          </w:r>
          <w:r>
            <w:tab/>
          </w:r>
          <w:r>
            <w:fldChar w:fldCharType="begin"/>
          </w:r>
          <w:r>
            <w:instrText xml:space="preserve"> PAGEREF _Toc200377231 \h </w:instrText>
          </w:r>
          <w:r>
            <w:fldChar w:fldCharType="separate"/>
          </w:r>
          <w:r>
            <w:t>37</w:t>
          </w:r>
          <w:r>
            <w:fldChar w:fldCharType="end"/>
          </w:r>
          <w:r>
            <w:fldChar w:fldCharType="end"/>
          </w:r>
        </w:p>
        <w:p w14:paraId="1C6E2CB3">
          <w:pPr>
            <w:pStyle w:val="11"/>
            <w:tabs>
              <w:tab w:val="right" w:leader="dot" w:pos="8296"/>
            </w:tabs>
            <w:ind w:left="560"/>
            <w:rPr>
              <w:rFonts w:asciiTheme="minorHAnsi" w:hAnsiTheme="minorHAnsi" w:eastAsiaTheme="minorEastAsia"/>
              <w:sz w:val="21"/>
            </w:rPr>
          </w:pPr>
          <w:r>
            <w:fldChar w:fldCharType="begin"/>
          </w:r>
          <w:r>
            <w:instrText xml:space="preserve"> HYPERLINK \l "_Toc200377232" </w:instrText>
          </w:r>
          <w:r>
            <w:fldChar w:fldCharType="separate"/>
          </w:r>
          <w:r>
            <w:rPr>
              <w:rStyle w:val="18"/>
            </w:rPr>
            <w:t>9.4 分隔带、</w:t>
          </w:r>
          <w:r>
            <w:rPr>
              <w:rStyle w:val="18"/>
              <w:rFonts w:hint="eastAsia"/>
              <w:lang w:eastAsia="zh-CN"/>
            </w:rPr>
            <w:t>护栏</w:t>
          </w:r>
          <w:r>
            <w:rPr>
              <w:rStyle w:val="18"/>
            </w:rPr>
            <w:t>和隔离墩</w:t>
          </w:r>
          <w:r>
            <w:tab/>
          </w:r>
          <w:r>
            <w:fldChar w:fldCharType="begin"/>
          </w:r>
          <w:r>
            <w:instrText xml:space="preserve"> PAGEREF _Toc200377232 \h </w:instrText>
          </w:r>
          <w:r>
            <w:fldChar w:fldCharType="separate"/>
          </w:r>
          <w:r>
            <w:t>38</w:t>
          </w:r>
          <w:r>
            <w:fldChar w:fldCharType="end"/>
          </w:r>
          <w:r>
            <w:fldChar w:fldCharType="end"/>
          </w:r>
        </w:p>
        <w:p w14:paraId="66AD8DD0">
          <w:pPr>
            <w:pStyle w:val="11"/>
            <w:tabs>
              <w:tab w:val="right" w:leader="dot" w:pos="8296"/>
            </w:tabs>
            <w:ind w:left="560"/>
            <w:rPr>
              <w:rFonts w:asciiTheme="minorHAnsi" w:hAnsiTheme="minorHAnsi" w:eastAsiaTheme="minorEastAsia"/>
              <w:sz w:val="21"/>
            </w:rPr>
          </w:pPr>
          <w:r>
            <w:fldChar w:fldCharType="begin"/>
          </w:r>
          <w:r>
            <w:instrText xml:space="preserve"> HYPERLINK \l "_Toc200377233" </w:instrText>
          </w:r>
          <w:r>
            <w:fldChar w:fldCharType="separate"/>
          </w:r>
          <w:r>
            <w:rPr>
              <w:rStyle w:val="18"/>
            </w:rPr>
            <w:t>9.5 声屏障、标志牌、防眩板、标线</w:t>
          </w:r>
          <w:r>
            <w:tab/>
          </w:r>
          <w:r>
            <w:fldChar w:fldCharType="begin"/>
          </w:r>
          <w:r>
            <w:instrText xml:space="preserve"> PAGEREF _Toc200377233 \h </w:instrText>
          </w:r>
          <w:r>
            <w:fldChar w:fldCharType="separate"/>
          </w:r>
          <w:r>
            <w:t>38</w:t>
          </w:r>
          <w:r>
            <w:fldChar w:fldCharType="end"/>
          </w:r>
          <w:r>
            <w:fldChar w:fldCharType="end"/>
          </w:r>
        </w:p>
        <w:p w14:paraId="4C5E285B">
          <w:pPr>
            <w:pStyle w:val="11"/>
            <w:tabs>
              <w:tab w:val="right" w:leader="dot" w:pos="8296"/>
            </w:tabs>
            <w:ind w:left="560"/>
            <w:rPr>
              <w:rFonts w:asciiTheme="minorHAnsi" w:hAnsiTheme="minorHAnsi" w:eastAsiaTheme="minorEastAsia"/>
              <w:sz w:val="21"/>
            </w:rPr>
          </w:pPr>
          <w:r>
            <w:fldChar w:fldCharType="begin"/>
          </w:r>
          <w:r>
            <w:instrText xml:space="preserve"> HYPERLINK \l "_Toc200377234" </w:instrText>
          </w:r>
          <w:r>
            <w:fldChar w:fldCharType="separate"/>
          </w:r>
          <w:r>
            <w:rPr>
              <w:rStyle w:val="18"/>
            </w:rPr>
            <w:t>9.6 踏步</w:t>
          </w:r>
          <w:r>
            <w:tab/>
          </w:r>
          <w:r>
            <w:fldChar w:fldCharType="begin"/>
          </w:r>
          <w:r>
            <w:instrText xml:space="preserve"> PAGEREF _Toc200377234 \h </w:instrText>
          </w:r>
          <w:r>
            <w:fldChar w:fldCharType="separate"/>
          </w:r>
          <w:r>
            <w:t>39</w:t>
          </w:r>
          <w:r>
            <w:fldChar w:fldCharType="end"/>
          </w:r>
          <w:r>
            <w:fldChar w:fldCharType="end"/>
          </w:r>
        </w:p>
        <w:p w14:paraId="55BEA71A">
          <w:pPr>
            <w:pStyle w:val="11"/>
            <w:tabs>
              <w:tab w:val="right" w:leader="dot" w:pos="8296"/>
            </w:tabs>
            <w:ind w:left="560"/>
            <w:rPr>
              <w:rFonts w:asciiTheme="minorHAnsi" w:hAnsiTheme="minorHAnsi" w:eastAsiaTheme="minorEastAsia"/>
              <w:sz w:val="21"/>
            </w:rPr>
          </w:pPr>
          <w:r>
            <w:fldChar w:fldCharType="begin"/>
          </w:r>
          <w:r>
            <w:instrText xml:space="preserve"> HYPERLINK \l "_Toc200377235" </w:instrText>
          </w:r>
          <w:r>
            <w:fldChar w:fldCharType="separate"/>
          </w:r>
          <w:r>
            <w:rPr>
              <w:rStyle w:val="18"/>
            </w:rPr>
            <w:t>9.7 缘石</w:t>
          </w:r>
          <w:r>
            <w:tab/>
          </w:r>
          <w:r>
            <w:fldChar w:fldCharType="begin"/>
          </w:r>
          <w:r>
            <w:instrText xml:space="preserve"> PAGEREF _Toc200377235 \h </w:instrText>
          </w:r>
          <w:r>
            <w:fldChar w:fldCharType="separate"/>
          </w:r>
          <w:r>
            <w:t>39</w:t>
          </w:r>
          <w:r>
            <w:fldChar w:fldCharType="end"/>
          </w:r>
          <w:r>
            <w:fldChar w:fldCharType="end"/>
          </w:r>
        </w:p>
        <w:p w14:paraId="41616273">
          <w:pPr>
            <w:pStyle w:val="11"/>
            <w:tabs>
              <w:tab w:val="right" w:leader="dot" w:pos="8296"/>
            </w:tabs>
            <w:ind w:left="560"/>
            <w:rPr>
              <w:rFonts w:asciiTheme="minorHAnsi" w:hAnsiTheme="minorHAnsi" w:eastAsiaTheme="minorEastAsia"/>
              <w:sz w:val="21"/>
            </w:rPr>
          </w:pPr>
          <w:r>
            <w:fldChar w:fldCharType="begin"/>
          </w:r>
          <w:r>
            <w:instrText xml:space="preserve"> HYPERLINK \l "_Toc200377236" </w:instrText>
          </w:r>
          <w:r>
            <w:fldChar w:fldCharType="separate"/>
          </w:r>
          <w:r>
            <w:rPr>
              <w:rStyle w:val="18"/>
            </w:rPr>
            <w:t>9.8 树池</w:t>
          </w:r>
          <w:r>
            <w:tab/>
          </w:r>
          <w:r>
            <w:fldChar w:fldCharType="begin"/>
          </w:r>
          <w:r>
            <w:instrText xml:space="preserve"> PAGEREF _Toc200377236 \h </w:instrText>
          </w:r>
          <w:r>
            <w:fldChar w:fldCharType="separate"/>
          </w:r>
          <w:r>
            <w:t>39</w:t>
          </w:r>
          <w:r>
            <w:fldChar w:fldCharType="end"/>
          </w:r>
          <w:r>
            <w:fldChar w:fldCharType="end"/>
          </w:r>
        </w:p>
        <w:p w14:paraId="31B13149">
          <w:pPr>
            <w:pStyle w:val="10"/>
            <w:tabs>
              <w:tab w:val="right" w:leader="dot" w:pos="8296"/>
            </w:tabs>
            <w:rPr>
              <w:rFonts w:asciiTheme="minorHAnsi" w:hAnsiTheme="minorHAnsi" w:eastAsiaTheme="minorEastAsia"/>
              <w:sz w:val="21"/>
            </w:rPr>
          </w:pPr>
          <w:r>
            <w:fldChar w:fldCharType="begin"/>
          </w:r>
          <w:r>
            <w:instrText xml:space="preserve"> HYPERLINK \l "_Toc200377237" </w:instrText>
          </w:r>
          <w:r>
            <w:fldChar w:fldCharType="separate"/>
          </w:r>
          <w:r>
            <w:rPr>
              <w:rStyle w:val="18"/>
            </w:rPr>
            <w:t>10 掘路修复</w:t>
          </w:r>
          <w:r>
            <w:tab/>
          </w:r>
          <w:r>
            <w:fldChar w:fldCharType="begin"/>
          </w:r>
          <w:r>
            <w:instrText xml:space="preserve"> PAGEREF _Toc200377237 \h </w:instrText>
          </w:r>
          <w:r>
            <w:fldChar w:fldCharType="separate"/>
          </w:r>
          <w:r>
            <w:t>40</w:t>
          </w:r>
          <w:r>
            <w:fldChar w:fldCharType="end"/>
          </w:r>
          <w:r>
            <w:fldChar w:fldCharType="end"/>
          </w:r>
        </w:p>
        <w:p w14:paraId="4325CA3A">
          <w:pPr>
            <w:pStyle w:val="10"/>
            <w:tabs>
              <w:tab w:val="right" w:leader="dot" w:pos="8296"/>
            </w:tabs>
            <w:rPr>
              <w:rFonts w:asciiTheme="minorHAnsi" w:hAnsiTheme="minorHAnsi" w:eastAsiaTheme="minorEastAsia"/>
              <w:sz w:val="21"/>
            </w:rPr>
          </w:pPr>
          <w:r>
            <w:fldChar w:fldCharType="begin"/>
          </w:r>
          <w:r>
            <w:instrText xml:space="preserve"> HYPERLINK \l "_Toc200377238" </w:instrText>
          </w:r>
          <w:r>
            <w:fldChar w:fldCharType="separate"/>
          </w:r>
          <w:r>
            <w:rPr>
              <w:rStyle w:val="18"/>
            </w:rPr>
            <w:t>11 养护作业安全防护</w:t>
          </w:r>
          <w:r>
            <w:tab/>
          </w:r>
          <w:r>
            <w:fldChar w:fldCharType="begin"/>
          </w:r>
          <w:r>
            <w:instrText xml:space="preserve"> PAGEREF _Toc200377238 \h </w:instrText>
          </w:r>
          <w:r>
            <w:fldChar w:fldCharType="separate"/>
          </w:r>
          <w:r>
            <w:t>40</w:t>
          </w:r>
          <w:r>
            <w:fldChar w:fldCharType="end"/>
          </w:r>
          <w:r>
            <w:fldChar w:fldCharType="end"/>
          </w:r>
        </w:p>
        <w:p w14:paraId="7B946438">
          <w:pPr>
            <w:pStyle w:val="11"/>
            <w:tabs>
              <w:tab w:val="right" w:leader="dot" w:pos="8296"/>
            </w:tabs>
            <w:ind w:left="560"/>
            <w:rPr>
              <w:rFonts w:asciiTheme="minorHAnsi" w:hAnsiTheme="minorHAnsi" w:eastAsiaTheme="minorEastAsia"/>
              <w:sz w:val="21"/>
            </w:rPr>
          </w:pPr>
          <w:r>
            <w:fldChar w:fldCharType="begin"/>
          </w:r>
          <w:r>
            <w:instrText xml:space="preserve"> HYPERLINK \l "_Toc200377239" </w:instrText>
          </w:r>
          <w:r>
            <w:fldChar w:fldCharType="separate"/>
          </w:r>
          <w:r>
            <w:rPr>
              <w:rStyle w:val="18"/>
            </w:rPr>
            <w:t>11.1 一般规定</w:t>
          </w:r>
          <w:r>
            <w:tab/>
          </w:r>
          <w:r>
            <w:fldChar w:fldCharType="begin"/>
          </w:r>
          <w:r>
            <w:instrText xml:space="preserve"> PAGEREF _Toc200377239 \h </w:instrText>
          </w:r>
          <w:r>
            <w:fldChar w:fldCharType="separate"/>
          </w:r>
          <w:r>
            <w:t>40</w:t>
          </w:r>
          <w:r>
            <w:fldChar w:fldCharType="end"/>
          </w:r>
          <w:r>
            <w:fldChar w:fldCharType="end"/>
          </w:r>
        </w:p>
        <w:p w14:paraId="1F8C3C61">
          <w:pPr>
            <w:pStyle w:val="11"/>
            <w:tabs>
              <w:tab w:val="right" w:leader="dot" w:pos="8296"/>
            </w:tabs>
            <w:ind w:left="560"/>
            <w:rPr>
              <w:rFonts w:asciiTheme="minorHAnsi" w:hAnsiTheme="minorHAnsi" w:eastAsiaTheme="minorEastAsia"/>
              <w:sz w:val="21"/>
            </w:rPr>
          </w:pPr>
          <w:r>
            <w:fldChar w:fldCharType="begin"/>
          </w:r>
          <w:r>
            <w:instrText xml:space="preserve"> HYPERLINK \l "_Toc200377240" </w:instrText>
          </w:r>
          <w:r>
            <w:fldChar w:fldCharType="separate"/>
          </w:r>
          <w:r>
            <w:rPr>
              <w:rStyle w:val="18"/>
            </w:rPr>
            <w:t>11.2 交通安全措施</w:t>
          </w:r>
          <w:r>
            <w:tab/>
          </w:r>
          <w:r>
            <w:fldChar w:fldCharType="begin"/>
          </w:r>
          <w:r>
            <w:instrText xml:space="preserve"> PAGEREF _Toc200377240 \h </w:instrText>
          </w:r>
          <w:r>
            <w:fldChar w:fldCharType="separate"/>
          </w:r>
          <w:r>
            <w:t>41</w:t>
          </w:r>
          <w:r>
            <w:fldChar w:fldCharType="end"/>
          </w:r>
          <w:r>
            <w:fldChar w:fldCharType="end"/>
          </w:r>
        </w:p>
        <w:p w14:paraId="60D50948">
          <w:pPr>
            <w:pStyle w:val="11"/>
            <w:tabs>
              <w:tab w:val="right" w:leader="dot" w:pos="8296"/>
            </w:tabs>
            <w:ind w:left="560"/>
            <w:rPr>
              <w:rFonts w:asciiTheme="minorHAnsi" w:hAnsiTheme="minorHAnsi" w:eastAsiaTheme="minorEastAsia"/>
              <w:sz w:val="21"/>
            </w:rPr>
          </w:pPr>
          <w:r>
            <w:fldChar w:fldCharType="begin"/>
          </w:r>
          <w:r>
            <w:instrText xml:space="preserve"> HYPERLINK \l "_Toc200377241" </w:instrText>
          </w:r>
          <w:r>
            <w:fldChar w:fldCharType="separate"/>
          </w:r>
          <w:r>
            <w:rPr>
              <w:rStyle w:val="18"/>
            </w:rPr>
            <w:t>11.3 流动作业要求</w:t>
          </w:r>
          <w:r>
            <w:tab/>
          </w:r>
          <w:r>
            <w:fldChar w:fldCharType="begin"/>
          </w:r>
          <w:r>
            <w:instrText xml:space="preserve"> PAGEREF _Toc200377241 \h </w:instrText>
          </w:r>
          <w:r>
            <w:fldChar w:fldCharType="separate"/>
          </w:r>
          <w:r>
            <w:t>41</w:t>
          </w:r>
          <w:r>
            <w:fldChar w:fldCharType="end"/>
          </w:r>
          <w:r>
            <w:fldChar w:fldCharType="end"/>
          </w:r>
        </w:p>
        <w:p w14:paraId="61CF704D">
          <w:pPr>
            <w:pStyle w:val="10"/>
            <w:tabs>
              <w:tab w:val="right" w:leader="dot" w:pos="8296"/>
            </w:tabs>
            <w:rPr>
              <w:rFonts w:asciiTheme="minorHAnsi" w:hAnsiTheme="minorHAnsi" w:eastAsiaTheme="minorEastAsia"/>
              <w:sz w:val="21"/>
            </w:rPr>
          </w:pPr>
          <w:r>
            <w:fldChar w:fldCharType="begin"/>
          </w:r>
          <w:r>
            <w:instrText xml:space="preserve"> HYPERLINK \l "_Toc200377242" </w:instrText>
          </w:r>
          <w:r>
            <w:fldChar w:fldCharType="separate"/>
          </w:r>
          <w:r>
            <w:rPr>
              <w:rStyle w:val="18"/>
            </w:rPr>
            <w:t>12 养护工程检查与验收</w:t>
          </w:r>
          <w:r>
            <w:tab/>
          </w:r>
          <w:r>
            <w:fldChar w:fldCharType="begin"/>
          </w:r>
          <w:r>
            <w:instrText xml:space="preserve"> PAGEREF _Toc200377242 \h </w:instrText>
          </w:r>
          <w:r>
            <w:fldChar w:fldCharType="separate"/>
          </w:r>
          <w:r>
            <w:t>42</w:t>
          </w:r>
          <w:r>
            <w:fldChar w:fldCharType="end"/>
          </w:r>
          <w:r>
            <w:fldChar w:fldCharType="end"/>
          </w:r>
        </w:p>
        <w:p w14:paraId="16977C01">
          <w:pPr>
            <w:pStyle w:val="10"/>
            <w:tabs>
              <w:tab w:val="right" w:leader="dot" w:pos="8296"/>
            </w:tabs>
            <w:rPr>
              <w:rFonts w:asciiTheme="minorHAnsi" w:hAnsiTheme="minorHAnsi" w:eastAsiaTheme="minorEastAsia"/>
              <w:sz w:val="21"/>
            </w:rPr>
          </w:pPr>
          <w:r>
            <w:fldChar w:fldCharType="begin"/>
          </w:r>
          <w:r>
            <w:instrText xml:space="preserve"> HYPERLINK \l "_Toc200377243" </w:instrText>
          </w:r>
          <w:r>
            <w:fldChar w:fldCharType="separate"/>
          </w:r>
          <w:r>
            <w:rPr>
              <w:rStyle w:val="18"/>
            </w:rPr>
            <w:t>13 技术档案管理</w:t>
          </w:r>
          <w:r>
            <w:tab/>
          </w:r>
          <w:r>
            <w:fldChar w:fldCharType="begin"/>
          </w:r>
          <w:r>
            <w:instrText xml:space="preserve"> PAGEREF _Toc200377243 \h </w:instrText>
          </w:r>
          <w:r>
            <w:fldChar w:fldCharType="separate"/>
          </w:r>
          <w:r>
            <w:t>42</w:t>
          </w:r>
          <w:r>
            <w:fldChar w:fldCharType="end"/>
          </w:r>
          <w:r>
            <w:fldChar w:fldCharType="end"/>
          </w:r>
        </w:p>
        <w:p w14:paraId="737B055E">
          <w:pPr>
            <w:pStyle w:val="10"/>
            <w:tabs>
              <w:tab w:val="right" w:leader="dot" w:pos="8296"/>
            </w:tabs>
            <w:rPr>
              <w:rFonts w:asciiTheme="minorHAnsi" w:hAnsiTheme="minorHAnsi" w:eastAsiaTheme="minorEastAsia"/>
              <w:sz w:val="21"/>
            </w:rPr>
          </w:pPr>
          <w:r>
            <w:fldChar w:fldCharType="begin"/>
          </w:r>
          <w:r>
            <w:instrText xml:space="preserve"> HYPERLINK \l "_Toc200377250" </w:instrText>
          </w:r>
          <w:r>
            <w:fldChar w:fldCharType="separate"/>
          </w:r>
          <w:r>
            <w:rPr>
              <w:rStyle w:val="18"/>
            </w:rPr>
            <w:t>14 引用文件</w:t>
          </w:r>
          <w:r>
            <w:tab/>
          </w:r>
          <w:r>
            <w:fldChar w:fldCharType="begin"/>
          </w:r>
          <w:r>
            <w:instrText xml:space="preserve"> PAGEREF _Toc200377250 \h </w:instrText>
          </w:r>
          <w:r>
            <w:fldChar w:fldCharType="separate"/>
          </w:r>
          <w:r>
            <w:t>43</w:t>
          </w:r>
          <w:r>
            <w:fldChar w:fldCharType="end"/>
          </w:r>
          <w:r>
            <w:fldChar w:fldCharType="end"/>
          </w:r>
        </w:p>
        <w:p w14:paraId="05D669B9">
          <w:pPr>
            <w:pStyle w:val="10"/>
            <w:tabs>
              <w:tab w:val="right" w:leader="dot" w:pos="8296"/>
            </w:tabs>
            <w:rPr>
              <w:rFonts w:asciiTheme="minorHAnsi" w:hAnsiTheme="minorHAnsi" w:eastAsiaTheme="minorEastAsia"/>
              <w:sz w:val="21"/>
            </w:rPr>
          </w:pPr>
          <w:r>
            <w:fldChar w:fldCharType="begin"/>
          </w:r>
          <w:r>
            <w:instrText xml:space="preserve"> HYPERLINK \l "_Toc200377251" </w:instrText>
          </w:r>
          <w:r>
            <w:fldChar w:fldCharType="separate"/>
          </w:r>
          <w:r>
            <w:rPr>
              <w:rStyle w:val="18"/>
            </w:rPr>
            <w:t>15 参考文献</w:t>
          </w:r>
          <w:r>
            <w:tab/>
          </w:r>
          <w:r>
            <w:fldChar w:fldCharType="begin"/>
          </w:r>
          <w:r>
            <w:instrText xml:space="preserve"> PAGEREF _Toc200377251 \h </w:instrText>
          </w:r>
          <w:r>
            <w:fldChar w:fldCharType="separate"/>
          </w:r>
          <w:r>
            <w:t>43</w:t>
          </w:r>
          <w:r>
            <w:fldChar w:fldCharType="end"/>
          </w:r>
          <w:r>
            <w:fldChar w:fldCharType="end"/>
          </w:r>
        </w:p>
        <w:p w14:paraId="74824CC3">
          <w:pPr>
            <w:pStyle w:val="10"/>
            <w:tabs>
              <w:tab w:val="right" w:leader="dot" w:pos="8296"/>
            </w:tabs>
            <w:rPr>
              <w:rFonts w:asciiTheme="minorHAnsi" w:hAnsiTheme="minorHAnsi" w:eastAsiaTheme="minorEastAsia"/>
              <w:sz w:val="21"/>
            </w:rPr>
          </w:pPr>
          <w:r>
            <w:fldChar w:fldCharType="begin"/>
          </w:r>
          <w:r>
            <w:instrText xml:space="preserve"> HYPERLINK \l "_Toc200377252" </w:instrText>
          </w:r>
          <w:r>
            <w:fldChar w:fldCharType="separate"/>
          </w:r>
          <w:r>
            <w:rPr>
              <w:rStyle w:val="18"/>
            </w:rPr>
            <w:t>附录A：城市道路日常巡查表</w:t>
          </w:r>
          <w:r>
            <w:tab/>
          </w:r>
          <w:r>
            <w:fldChar w:fldCharType="begin"/>
          </w:r>
          <w:r>
            <w:instrText xml:space="preserve"> PAGEREF _Toc200377252 \h </w:instrText>
          </w:r>
          <w:r>
            <w:fldChar w:fldCharType="separate"/>
          </w:r>
          <w:r>
            <w:t>45</w:t>
          </w:r>
          <w:r>
            <w:fldChar w:fldCharType="end"/>
          </w:r>
          <w:r>
            <w:fldChar w:fldCharType="end"/>
          </w:r>
        </w:p>
        <w:p w14:paraId="7B63BFA2">
          <w:r>
            <w:fldChar w:fldCharType="end"/>
          </w:r>
        </w:p>
      </w:sdtContent>
    </w:sdt>
    <w:p w14:paraId="5988C727"/>
    <w:p w14:paraId="2651DBE8">
      <w:pPr>
        <w:widowControl/>
        <w:sectPr>
          <w:footerReference r:id="rId3" w:type="default"/>
          <w:pgSz w:w="11906" w:h="16838"/>
          <w:pgMar w:top="1440" w:right="1800" w:bottom="1440" w:left="1800" w:header="851" w:footer="992" w:gutter="0"/>
          <w:cols w:space="425" w:num="1"/>
          <w:docGrid w:type="lines" w:linePitch="312" w:charSpace="0"/>
        </w:sectPr>
      </w:pPr>
    </w:p>
    <w:p w14:paraId="33B847B4">
      <w:pPr>
        <w:pStyle w:val="2"/>
        <w:spacing w:before="156" w:after="156"/>
      </w:pPr>
      <w:bookmarkStart w:id="0" w:name="_Toc200377196"/>
      <w:r>
        <w:rPr>
          <w:rFonts w:hint="eastAsia"/>
        </w:rPr>
        <w:t>总则</w:t>
      </w:r>
      <w:bookmarkEnd w:id="0"/>
    </w:p>
    <w:p w14:paraId="74B44C2D">
      <w:pPr>
        <w:rPr>
          <w:rFonts w:ascii="宋体" w:hAnsi="宋体"/>
          <w:szCs w:val="28"/>
        </w:rPr>
      </w:pPr>
      <w:r>
        <w:rPr>
          <w:rFonts w:ascii="宋体" w:hAnsi="宋体"/>
          <w:szCs w:val="28"/>
        </w:rPr>
        <w:t>1.0.1 为规范黄石市城市道路养护管理工作，提升道路</w:t>
      </w:r>
      <w:r>
        <w:rPr>
          <w:rFonts w:hint="eastAsia" w:ascii="宋体" w:hAnsi="宋体"/>
          <w:szCs w:val="28"/>
        </w:rPr>
        <w:t>精细化管理</w:t>
      </w:r>
      <w:r>
        <w:rPr>
          <w:rFonts w:ascii="宋体" w:hAnsi="宋体"/>
          <w:szCs w:val="28"/>
        </w:rPr>
        <w:t>水平，确保道路设施安全、完好</w:t>
      </w:r>
      <w:r>
        <w:rPr>
          <w:rFonts w:hint="eastAsia" w:ascii="宋体" w:hAnsi="宋体"/>
          <w:szCs w:val="28"/>
        </w:rPr>
        <w:t>、畅通</w:t>
      </w:r>
      <w:r>
        <w:rPr>
          <w:rFonts w:ascii="宋体" w:hAnsi="宋体"/>
          <w:szCs w:val="28"/>
        </w:rPr>
        <w:t>，提升城市形象与居民出行体验，根据国家</w:t>
      </w:r>
      <w:r>
        <w:rPr>
          <w:rFonts w:hint="eastAsia" w:ascii="宋体" w:hAnsi="宋体"/>
          <w:szCs w:val="28"/>
        </w:rPr>
        <w:t>相关法律法规</w:t>
      </w:r>
      <w:r>
        <w:rPr>
          <w:rFonts w:ascii="宋体" w:hAnsi="宋体"/>
          <w:szCs w:val="28"/>
        </w:rPr>
        <w:t>和行业标准，结合黄石市实际情况，制定本导则。</w:t>
      </w:r>
    </w:p>
    <w:p w14:paraId="3C7DC77B">
      <w:pPr>
        <w:rPr>
          <w:rFonts w:ascii="宋体" w:hAnsi="宋体"/>
          <w:szCs w:val="28"/>
        </w:rPr>
      </w:pPr>
      <w:r>
        <w:rPr>
          <w:rFonts w:hint="eastAsia" w:ascii="宋体" w:hAnsi="宋体"/>
          <w:szCs w:val="28"/>
        </w:rPr>
        <w:t>1</w:t>
      </w:r>
      <w:r>
        <w:rPr>
          <w:rFonts w:ascii="宋体" w:hAnsi="宋体"/>
          <w:szCs w:val="28"/>
        </w:rPr>
        <w:t>.0.2 本导则适用于黄石市城市规划区内的</w:t>
      </w:r>
      <w:r>
        <w:rPr>
          <w:rFonts w:hint="eastAsia" w:ascii="宋体" w:hAnsi="宋体"/>
          <w:szCs w:val="28"/>
        </w:rPr>
        <w:t>已竣工验收并投入使用的</w:t>
      </w:r>
      <w:r>
        <w:rPr>
          <w:rFonts w:ascii="宋体" w:hAnsi="宋体"/>
          <w:szCs w:val="28"/>
        </w:rPr>
        <w:t>城市道路（包括车行道、人行道及附属设施等）的</w:t>
      </w:r>
      <w:r>
        <w:rPr>
          <w:rFonts w:hint="eastAsia" w:ascii="宋体" w:hAnsi="宋体"/>
          <w:szCs w:val="28"/>
        </w:rPr>
        <w:t>保养小修养护</w:t>
      </w:r>
      <w:r>
        <w:rPr>
          <w:rFonts w:ascii="宋体" w:hAnsi="宋体"/>
          <w:szCs w:val="28"/>
        </w:rPr>
        <w:t>管理。</w:t>
      </w:r>
    </w:p>
    <w:p w14:paraId="77504936">
      <w:pPr>
        <w:rPr>
          <w:rFonts w:ascii="宋体" w:hAnsi="宋体"/>
          <w:szCs w:val="28"/>
        </w:rPr>
      </w:pPr>
      <w:r>
        <w:rPr>
          <w:rFonts w:hint="eastAsia" w:ascii="宋体" w:hAnsi="宋体"/>
          <w:szCs w:val="28"/>
        </w:rPr>
        <w:t>1</w:t>
      </w:r>
      <w:r>
        <w:rPr>
          <w:rFonts w:ascii="宋体" w:hAnsi="宋体"/>
          <w:szCs w:val="28"/>
        </w:rPr>
        <w:t xml:space="preserve">.0.3 </w:t>
      </w:r>
      <w:bookmarkStart w:id="1" w:name="OLE_LINK4"/>
      <w:r>
        <w:rPr>
          <w:rFonts w:ascii="宋体" w:hAnsi="宋体"/>
          <w:szCs w:val="28"/>
        </w:rPr>
        <w:t>城市道路养护管理应遵循“</w:t>
      </w:r>
      <w:bookmarkStart w:id="2" w:name="OLE_LINK3"/>
      <w:r>
        <w:rPr>
          <w:rFonts w:ascii="宋体" w:hAnsi="宋体"/>
          <w:szCs w:val="28"/>
        </w:rPr>
        <w:t>预防为主、防治结合、</w:t>
      </w:r>
      <w:r>
        <w:rPr>
          <w:rFonts w:hint="eastAsia" w:ascii="宋体" w:hAnsi="宋体"/>
          <w:szCs w:val="28"/>
        </w:rPr>
        <w:t>分类管理、保障</w:t>
      </w:r>
      <w:r>
        <w:rPr>
          <w:rFonts w:ascii="宋体" w:hAnsi="宋体"/>
          <w:szCs w:val="28"/>
        </w:rPr>
        <w:t>重点、养好一般</w:t>
      </w:r>
      <w:bookmarkEnd w:id="2"/>
      <w:r>
        <w:rPr>
          <w:rFonts w:ascii="宋体" w:hAnsi="宋体"/>
          <w:szCs w:val="28"/>
        </w:rPr>
        <w:t>”的原则</w:t>
      </w:r>
      <w:bookmarkEnd w:id="1"/>
      <w:r>
        <w:rPr>
          <w:rFonts w:ascii="宋体" w:hAnsi="宋体"/>
          <w:szCs w:val="28"/>
        </w:rPr>
        <w:t>，确保道路设施的完好性和安全性。</w:t>
      </w:r>
    </w:p>
    <w:p w14:paraId="17BFA73E">
      <w:pPr>
        <w:pStyle w:val="2"/>
        <w:spacing w:before="156" w:after="156"/>
      </w:pPr>
      <w:bookmarkStart w:id="3" w:name="_Toc200377197"/>
      <w:r>
        <w:rPr>
          <w:rFonts w:hint="eastAsia"/>
        </w:rPr>
        <w:t>术语</w:t>
      </w:r>
      <w:bookmarkEnd w:id="3"/>
    </w:p>
    <w:p w14:paraId="053D0553">
      <w:pPr>
        <w:pStyle w:val="3"/>
        <w:spacing w:before="156" w:after="156"/>
      </w:pPr>
      <w:bookmarkStart w:id="4" w:name="_Toc194944378"/>
      <w:bookmarkStart w:id="5" w:name="_Toc194928805"/>
      <w:bookmarkStart w:id="6" w:name="_Toc200377198"/>
      <w:bookmarkStart w:id="7" w:name="_Toc198808164"/>
      <w:r>
        <w:rPr>
          <w:rFonts w:hint="eastAsia"/>
        </w:rPr>
        <w:t>预防性养护</w:t>
      </w:r>
      <w:r>
        <w:t>pavement preventive maintenance</w:t>
      </w:r>
      <w:bookmarkEnd w:id="4"/>
      <w:bookmarkEnd w:id="5"/>
      <w:bookmarkEnd w:id="6"/>
      <w:bookmarkEnd w:id="7"/>
    </w:p>
    <w:p w14:paraId="74EB779D">
      <w:pPr>
        <w:ind w:firstLine="560" w:firstLineChars="200"/>
        <w:rPr>
          <w:rFonts w:ascii="宋体" w:hAnsi="宋体"/>
          <w:szCs w:val="28"/>
        </w:rPr>
      </w:pPr>
      <w:r>
        <w:rPr>
          <w:rFonts w:hint="eastAsia" w:ascii="宋体" w:hAnsi="宋体"/>
          <w:szCs w:val="28"/>
        </w:rPr>
        <w:t>在道路结构强度足够、仅表面功能衰减的情况下，为恢复路面表面的服务功能而采取的养护措施。</w:t>
      </w:r>
    </w:p>
    <w:p w14:paraId="17AEA9D1">
      <w:pPr>
        <w:pStyle w:val="3"/>
        <w:spacing w:before="156" w:after="156"/>
      </w:pPr>
      <w:bookmarkStart w:id="8" w:name="_Toc194944379"/>
      <w:bookmarkStart w:id="9" w:name="_Toc200377199"/>
      <w:bookmarkStart w:id="10" w:name="_Toc194928806"/>
      <w:bookmarkStart w:id="11" w:name="_Toc198808165"/>
      <w:r>
        <w:rPr>
          <w:rFonts w:hint="eastAsia"/>
        </w:rPr>
        <w:t xml:space="preserve">保养小修 </w:t>
      </w:r>
      <w:r>
        <w:t xml:space="preserve"> minor rehabilitation</w:t>
      </w:r>
      <w:bookmarkEnd w:id="8"/>
      <w:bookmarkEnd w:id="9"/>
      <w:bookmarkEnd w:id="10"/>
      <w:bookmarkEnd w:id="11"/>
    </w:p>
    <w:p w14:paraId="373D4AC4">
      <w:pPr>
        <w:ind w:firstLine="560" w:firstLineChars="200"/>
        <w:rPr>
          <w:rFonts w:ascii="宋体" w:hAnsi="宋体"/>
          <w:szCs w:val="28"/>
        </w:rPr>
      </w:pPr>
      <w:r>
        <w:rPr>
          <w:rFonts w:hint="eastAsia" w:ascii="宋体" w:hAnsi="宋体"/>
          <w:szCs w:val="28"/>
        </w:rPr>
        <w:t>为保持道路功能和设施完好所进行的日常保养。</w:t>
      </w:r>
    </w:p>
    <w:p w14:paraId="3A517C71">
      <w:pPr>
        <w:pStyle w:val="3"/>
        <w:spacing w:before="156" w:after="156"/>
      </w:pPr>
      <w:bookmarkStart w:id="12" w:name="_Toc200377200"/>
      <w:bookmarkStart w:id="13" w:name="_Toc198808166"/>
      <w:bookmarkStart w:id="14" w:name="OLE_LINK5"/>
      <w:r>
        <w:rPr>
          <w:rFonts w:hint="eastAsia"/>
        </w:rPr>
        <w:t xml:space="preserve">就地热再生 </w:t>
      </w:r>
      <w:r>
        <w:t xml:space="preserve"> </w:t>
      </w:r>
      <w:r>
        <w:rPr>
          <w:rFonts w:hint="eastAsia"/>
        </w:rPr>
        <w:t>hot in-place recycling</w:t>
      </w:r>
      <w:bookmarkEnd w:id="12"/>
      <w:bookmarkEnd w:id="13"/>
    </w:p>
    <w:p w14:paraId="18D719F9">
      <w:pPr>
        <w:ind w:firstLine="560" w:firstLineChars="200"/>
        <w:rPr>
          <w:rFonts w:ascii="宋体" w:hAnsi="宋体"/>
          <w:szCs w:val="28"/>
        </w:rPr>
      </w:pPr>
      <w:r>
        <w:rPr>
          <w:rFonts w:hint="eastAsia" w:ascii="宋体" w:hAnsi="宋体"/>
          <w:szCs w:val="28"/>
        </w:rPr>
        <w:t>采用专用的热再生设备,对旧沥青路面进行加热、铣刨,就地掺入一定数量的新沥青、新沥青混合料、再生剂等经过热态拌和、摊铺、碾压等工序,一次性实现对路面一定深度范围内的旧沥青混凝土路面再生的过程。</w:t>
      </w:r>
    </w:p>
    <w:bookmarkEnd w:id="14"/>
    <w:p w14:paraId="60C287B5">
      <w:pPr>
        <w:pStyle w:val="3"/>
        <w:spacing w:before="156" w:after="156"/>
      </w:pPr>
      <w:bookmarkStart w:id="15" w:name="OLE_LINK7"/>
      <w:bookmarkStart w:id="16" w:name="_Toc198808167"/>
      <w:bookmarkStart w:id="17" w:name="_Toc200377201"/>
      <w:bookmarkStart w:id="18" w:name="OLE_LINK6"/>
      <w:r>
        <w:rPr>
          <w:rFonts w:hint="eastAsia"/>
        </w:rPr>
        <w:t>铣刨</w:t>
      </w:r>
      <w:bookmarkEnd w:id="15"/>
      <w:r>
        <w:rPr>
          <w:rFonts w:hint="eastAsia"/>
        </w:rPr>
        <w:t xml:space="preserve"> </w:t>
      </w:r>
      <w:r>
        <w:t xml:space="preserve"> </w:t>
      </w:r>
      <w:r>
        <w:rPr>
          <w:rFonts w:hint="eastAsia"/>
        </w:rPr>
        <w:t>milling</w:t>
      </w:r>
      <w:bookmarkEnd w:id="16"/>
      <w:bookmarkEnd w:id="17"/>
    </w:p>
    <w:p w14:paraId="539C08F0">
      <w:pPr>
        <w:ind w:firstLine="560" w:firstLineChars="200"/>
        <w:rPr>
          <w:rFonts w:ascii="宋体" w:hAnsi="宋体"/>
          <w:szCs w:val="28"/>
        </w:rPr>
      </w:pPr>
      <w:r>
        <w:rPr>
          <w:rFonts w:ascii="宋体" w:hAnsi="宋体"/>
          <w:szCs w:val="28"/>
        </w:rPr>
        <w:t>使用铣刨机对路面进行处理的施工过程。</w:t>
      </w:r>
    </w:p>
    <w:bookmarkEnd w:id="18"/>
    <w:p w14:paraId="418038A4">
      <w:pPr>
        <w:pStyle w:val="2"/>
        <w:spacing w:before="156" w:after="156"/>
      </w:pPr>
      <w:bookmarkStart w:id="19" w:name="_Toc200377202"/>
      <w:r>
        <w:rPr>
          <w:rFonts w:hint="eastAsia"/>
        </w:rPr>
        <w:t>基本规定</w:t>
      </w:r>
      <w:bookmarkEnd w:id="19"/>
    </w:p>
    <w:p w14:paraId="4D66F13E">
      <w:pPr>
        <w:pStyle w:val="3"/>
        <w:spacing w:before="0" w:beforeLines="0" w:after="0" w:afterLines="0"/>
        <w:rPr>
          <w:rFonts w:ascii="宋体" w:hAnsi="宋体" w:eastAsia="宋体"/>
        </w:rPr>
      </w:pPr>
      <w:bookmarkStart w:id="20" w:name="_Toc194944381"/>
      <w:bookmarkStart w:id="21" w:name="_Toc198808169"/>
      <w:bookmarkStart w:id="22" w:name="_Toc194928808"/>
      <w:bookmarkStart w:id="23" w:name="_Toc200377203"/>
      <w:r>
        <w:rPr>
          <w:rFonts w:hint="eastAsia" w:ascii="宋体" w:hAnsi="宋体" w:eastAsia="宋体"/>
        </w:rPr>
        <w:t>城市道路的养护应包括道路设施的检查评价、养护工程和技术档案管理。</w:t>
      </w:r>
      <w:bookmarkEnd w:id="20"/>
      <w:bookmarkEnd w:id="21"/>
      <w:bookmarkEnd w:id="22"/>
      <w:bookmarkEnd w:id="23"/>
    </w:p>
    <w:p w14:paraId="6BAF8A09">
      <w:pPr>
        <w:pStyle w:val="3"/>
        <w:spacing w:before="0" w:beforeLines="0" w:after="0" w:afterLines="0"/>
        <w:rPr>
          <w:rFonts w:ascii="宋体" w:hAnsi="宋体" w:eastAsia="宋体"/>
        </w:rPr>
      </w:pPr>
      <w:bookmarkStart w:id="24" w:name="_Toc200377204"/>
      <w:bookmarkStart w:id="25" w:name="_Toc194944385"/>
      <w:bookmarkStart w:id="26" w:name="_Toc194928812"/>
      <w:r>
        <w:rPr>
          <w:rFonts w:hint="eastAsia" w:ascii="宋体" w:hAnsi="宋体" w:eastAsia="宋体"/>
        </w:rPr>
        <w:t>城市道路应定期进行日常巡查、检测评价，并根据评价结果制定相应的维修计划及养护规划。应加强日常保养小修，保持道路设施各部位技术状况良好。</w:t>
      </w:r>
      <w:bookmarkEnd w:id="24"/>
    </w:p>
    <w:p w14:paraId="367CD602">
      <w:pPr>
        <w:pStyle w:val="3"/>
        <w:spacing w:before="0" w:beforeLines="0" w:after="0" w:afterLines="0"/>
        <w:rPr>
          <w:rFonts w:ascii="宋体" w:hAnsi="宋体" w:eastAsia="宋体"/>
        </w:rPr>
      </w:pPr>
      <w:bookmarkStart w:id="27" w:name="_Toc198808170"/>
      <w:bookmarkStart w:id="28" w:name="_Toc200377205"/>
      <w:r>
        <w:rPr>
          <w:rFonts w:ascii="宋体" w:hAnsi="宋体" w:eastAsia="宋体"/>
        </w:rPr>
        <w:t>根据各类城市道路的重要性、交通量和人流量，宜将城市道路分为下列三个养护等级:</w:t>
      </w:r>
      <w:bookmarkEnd w:id="25"/>
      <w:bookmarkEnd w:id="26"/>
      <w:bookmarkEnd w:id="27"/>
      <w:bookmarkEnd w:id="28"/>
    </w:p>
    <w:p w14:paraId="0D04F6BA">
      <w:pPr>
        <w:ind w:firstLine="560" w:firstLineChars="200"/>
        <w:rPr>
          <w:rFonts w:ascii="宋体" w:hAnsi="宋体"/>
          <w:szCs w:val="28"/>
        </w:rPr>
      </w:pPr>
      <w:r>
        <w:rPr>
          <w:rFonts w:ascii="宋体" w:hAnsi="宋体"/>
          <w:szCs w:val="28"/>
        </w:rPr>
        <w:t>a) I等:快速路、主干路、广场、商业繁华街道、重要生产区道路、外事活动路线、游览路线</w:t>
      </w:r>
      <w:r>
        <w:rPr>
          <w:rFonts w:hint="eastAsia" w:ascii="宋体" w:hAnsi="宋体"/>
          <w:szCs w:val="28"/>
        </w:rPr>
        <w:t>；</w:t>
      </w:r>
    </w:p>
    <w:p w14:paraId="33C6A572">
      <w:pPr>
        <w:ind w:firstLine="560" w:firstLineChars="200"/>
        <w:rPr>
          <w:rFonts w:ascii="宋体" w:hAnsi="宋体"/>
          <w:szCs w:val="28"/>
        </w:rPr>
      </w:pPr>
      <w:r>
        <w:rPr>
          <w:rFonts w:ascii="宋体" w:hAnsi="宋体"/>
          <w:szCs w:val="28"/>
        </w:rPr>
        <w:t>b) Ⅱ等:除I等养护以外的次干路、步行街、支路中的商业街道</w:t>
      </w:r>
      <w:r>
        <w:rPr>
          <w:rFonts w:hint="eastAsia" w:ascii="宋体" w:hAnsi="宋体"/>
          <w:szCs w:val="28"/>
        </w:rPr>
        <w:t>；</w:t>
      </w:r>
    </w:p>
    <w:p w14:paraId="6EB24629">
      <w:pPr>
        <w:ind w:firstLine="560" w:firstLineChars="200"/>
        <w:rPr>
          <w:rFonts w:ascii="宋体" w:hAnsi="宋体"/>
          <w:szCs w:val="28"/>
        </w:rPr>
      </w:pPr>
      <w:r>
        <w:rPr>
          <w:rFonts w:ascii="宋体" w:hAnsi="宋体"/>
          <w:szCs w:val="28"/>
        </w:rPr>
        <w:t>c) Ⅲ等:除工、II等养护以外的支路(含社区及工业区的连接主次干路的支路)。</w:t>
      </w:r>
    </w:p>
    <w:p w14:paraId="6DFD6C2A">
      <w:pPr>
        <w:pStyle w:val="3"/>
        <w:spacing w:before="0" w:beforeLines="0" w:after="0" w:afterLines="0"/>
        <w:rPr>
          <w:rFonts w:ascii="宋体" w:hAnsi="宋体" w:eastAsia="宋体"/>
        </w:rPr>
      </w:pPr>
      <w:bookmarkStart w:id="29" w:name="_Toc198808171"/>
      <w:bookmarkStart w:id="30" w:name="_Toc200377206"/>
      <w:r>
        <w:rPr>
          <w:rFonts w:hint="eastAsia" w:ascii="宋体" w:hAnsi="宋体" w:eastAsia="宋体"/>
        </w:rPr>
        <w:t>市、区（县）市政设施管理机构负责本辖区内城市道路的养护管理。并配备专业技术管理人员。</w:t>
      </w:r>
      <w:bookmarkEnd w:id="29"/>
      <w:bookmarkEnd w:id="30"/>
    </w:p>
    <w:p w14:paraId="0BEE0A21">
      <w:pPr>
        <w:pStyle w:val="3"/>
        <w:spacing w:before="0" w:beforeLines="0" w:after="0" w:afterLines="0"/>
        <w:rPr>
          <w:rFonts w:ascii="宋体" w:hAnsi="宋体" w:eastAsia="宋体"/>
        </w:rPr>
      </w:pPr>
      <w:bookmarkStart w:id="31" w:name="_Toc194928813"/>
      <w:bookmarkStart w:id="32" w:name="_Toc194944386"/>
      <w:bookmarkStart w:id="33" w:name="_Toc198808172"/>
      <w:bookmarkStart w:id="34" w:name="_Toc200377207"/>
      <w:r>
        <w:rPr>
          <w:rFonts w:hint="eastAsia" w:ascii="宋体" w:hAnsi="宋体" w:eastAsia="宋体"/>
        </w:rPr>
        <w:t>城市道路</w:t>
      </w:r>
      <w:r>
        <w:rPr>
          <w:rFonts w:ascii="宋体" w:hAnsi="宋体" w:eastAsia="宋体"/>
        </w:rPr>
        <w:t>养护单位应配备专职技术人员人员。</w:t>
      </w:r>
      <w:r>
        <w:rPr>
          <w:rFonts w:hint="eastAsia" w:ascii="宋体" w:hAnsi="宋体" w:eastAsia="宋体"/>
        </w:rPr>
        <w:t>养护作业人员</w:t>
      </w:r>
      <w:r>
        <w:rPr>
          <w:rFonts w:ascii="宋体" w:hAnsi="宋体" w:eastAsia="宋体"/>
        </w:rPr>
        <w:t>应具备相应的专业知识与技能</w:t>
      </w:r>
      <w:bookmarkEnd w:id="31"/>
      <w:bookmarkEnd w:id="32"/>
      <w:bookmarkStart w:id="35" w:name="_Toc194928814"/>
      <w:bookmarkStart w:id="36" w:name="_Toc194944387"/>
      <w:r>
        <w:rPr>
          <w:rFonts w:hint="eastAsia" w:ascii="宋体" w:hAnsi="宋体" w:eastAsia="宋体"/>
        </w:rPr>
        <w:t>。</w:t>
      </w:r>
      <w:bookmarkEnd w:id="33"/>
      <w:bookmarkEnd w:id="34"/>
    </w:p>
    <w:p w14:paraId="25088C27">
      <w:pPr>
        <w:pStyle w:val="3"/>
        <w:spacing w:before="0" w:beforeLines="0" w:after="0" w:afterLines="0"/>
        <w:rPr>
          <w:rFonts w:ascii="宋体" w:hAnsi="宋体" w:eastAsia="宋体"/>
        </w:rPr>
      </w:pPr>
      <w:bookmarkStart w:id="37" w:name="_Toc198808173"/>
      <w:bookmarkStart w:id="38" w:name="_Toc200377208"/>
      <w:r>
        <w:rPr>
          <w:rFonts w:hint="eastAsia" w:ascii="宋体" w:hAnsi="宋体" w:eastAsia="宋体"/>
        </w:rPr>
        <w:t>城市道路</w:t>
      </w:r>
      <w:r>
        <w:rPr>
          <w:rFonts w:ascii="宋体" w:hAnsi="宋体" w:eastAsia="宋体"/>
        </w:rPr>
        <w:t>养护</w:t>
      </w:r>
      <w:r>
        <w:rPr>
          <w:rFonts w:hint="eastAsia" w:ascii="宋体" w:hAnsi="宋体" w:eastAsia="宋体"/>
        </w:rPr>
        <w:t>应采用机械化施工设备，</w:t>
      </w:r>
      <w:r>
        <w:rPr>
          <w:rFonts w:ascii="宋体" w:hAnsi="宋体" w:eastAsia="宋体"/>
        </w:rPr>
        <w:t>设备应满足养护作业需求，定期维护保养，确保性能完好、使用安全。</w:t>
      </w:r>
      <w:bookmarkEnd w:id="35"/>
      <w:bookmarkEnd w:id="36"/>
      <w:bookmarkEnd w:id="37"/>
      <w:bookmarkEnd w:id="38"/>
    </w:p>
    <w:p w14:paraId="2CCFEA58">
      <w:pPr>
        <w:pStyle w:val="2"/>
        <w:spacing w:before="156" w:after="156"/>
      </w:pPr>
      <w:bookmarkStart w:id="39" w:name="_Toc200377209"/>
      <w:r>
        <w:rPr>
          <w:rFonts w:hint="eastAsia"/>
        </w:rPr>
        <w:t>道路检查与评价</w:t>
      </w:r>
      <w:bookmarkEnd w:id="39"/>
    </w:p>
    <w:p w14:paraId="0EB9BBC8">
      <w:pPr>
        <w:pStyle w:val="3"/>
        <w:spacing w:before="156" w:after="156"/>
      </w:pPr>
      <w:bookmarkStart w:id="40" w:name="_Toc200377210"/>
      <w:r>
        <w:rPr>
          <w:rFonts w:hint="eastAsia"/>
        </w:rPr>
        <w:t>一般规定</w:t>
      </w:r>
      <w:bookmarkEnd w:id="40"/>
    </w:p>
    <w:p w14:paraId="244465BD">
      <w:pPr>
        <w:pStyle w:val="4"/>
      </w:pPr>
      <w:r>
        <w:rPr>
          <w:rFonts w:hint="eastAsia"/>
        </w:rPr>
        <w:t>城市道路检查分为日常巡查、定期检测和特殊检测。</w:t>
      </w:r>
    </w:p>
    <w:p w14:paraId="74B1F289">
      <w:pPr>
        <w:pStyle w:val="4"/>
      </w:pPr>
      <w:r>
        <w:rPr>
          <w:rFonts w:hint="eastAsia"/>
        </w:rPr>
        <w:t>城市道路检查和评价对象应包括车行道、人行道及附属设施等城市基础设施。</w:t>
      </w:r>
    </w:p>
    <w:p w14:paraId="6EB99318">
      <w:pPr>
        <w:pStyle w:val="4"/>
      </w:pPr>
      <w:r>
        <w:rPr>
          <w:rFonts w:hint="eastAsia"/>
        </w:rPr>
        <w:t>城市道路检查与评价应符合CJJ</w:t>
      </w:r>
      <w:r>
        <w:t xml:space="preserve"> 36</w:t>
      </w:r>
      <w:r>
        <w:rPr>
          <w:rFonts w:hint="eastAsia"/>
        </w:rPr>
        <w:t>、DB</w:t>
      </w:r>
      <w:r>
        <w:t>42/T 2181</w:t>
      </w:r>
      <w:r>
        <w:rPr>
          <w:rFonts w:hint="eastAsia"/>
        </w:rPr>
        <w:t>的相关规定。城市道路的技术状况评价应分为四级：A—优、B—良、C—合格、D—不合格。</w:t>
      </w:r>
    </w:p>
    <w:p w14:paraId="4DDC7628">
      <w:pPr>
        <w:pStyle w:val="3"/>
        <w:spacing w:before="156" w:after="156"/>
      </w:pPr>
      <w:bookmarkStart w:id="41" w:name="_Toc200377211"/>
      <w:r>
        <w:rPr>
          <w:rFonts w:hint="eastAsia"/>
        </w:rPr>
        <w:t>日常巡查</w:t>
      </w:r>
      <w:bookmarkEnd w:id="41"/>
    </w:p>
    <w:p w14:paraId="5634BC94">
      <w:pPr>
        <w:pStyle w:val="4"/>
        <w:rPr>
          <w:b/>
          <w:bCs w:val="0"/>
        </w:rPr>
      </w:pPr>
      <w:r>
        <w:rPr>
          <w:rFonts w:hint="eastAsia"/>
          <w:b/>
          <w:bCs w:val="0"/>
        </w:rPr>
        <w:t>检查内容</w:t>
      </w:r>
    </w:p>
    <w:p w14:paraId="547FF902">
      <w:pPr>
        <w:ind w:firstLine="560" w:firstLineChars="200"/>
        <w:rPr>
          <w:rFonts w:ascii="宋体" w:hAnsi="宋体"/>
          <w:szCs w:val="28"/>
        </w:rPr>
      </w:pPr>
      <w:r>
        <w:rPr>
          <w:rFonts w:hint="eastAsia" w:ascii="宋体" w:hAnsi="宋体"/>
          <w:szCs w:val="28"/>
        </w:rPr>
        <w:t>日常巡查按附录A记录，应包括下列内容：</w:t>
      </w:r>
    </w:p>
    <w:p w14:paraId="7E083E0E">
      <w:pPr>
        <w:pStyle w:val="26"/>
        <w:numPr>
          <w:ilvl w:val="0"/>
          <w:numId w:val="3"/>
        </w:numPr>
        <w:ind w:left="1120" w:hanging="560" w:hangingChars="200"/>
        <w:jc w:val="left"/>
        <w:rPr>
          <w:rFonts w:hAnsi="宋体"/>
          <w:sz w:val="28"/>
          <w:szCs w:val="28"/>
        </w:rPr>
      </w:pPr>
      <w:r>
        <w:rPr>
          <w:rFonts w:hint="eastAsia" w:hAnsi="宋体"/>
          <w:sz w:val="28"/>
          <w:szCs w:val="28"/>
        </w:rPr>
        <w:t>路面外观的完好情况。路面主要损坏类型分类见表1。</w:t>
      </w:r>
    </w:p>
    <w:p w14:paraId="446FBF4F">
      <w:pPr>
        <w:pStyle w:val="26"/>
        <w:spacing w:before="156" w:beforeLines="50" w:after="156" w:afterLines="50"/>
        <w:ind w:left="560" w:firstLine="480"/>
        <w:jc w:val="center"/>
        <w:rPr>
          <w:rFonts w:ascii="黑体" w:hAnsi="黑体" w:eastAsia="黑体"/>
          <w:szCs w:val="24"/>
        </w:rPr>
      </w:pPr>
      <w:r>
        <w:rPr>
          <w:rFonts w:hint="eastAsia" w:ascii="黑体" w:hAnsi="黑体" w:eastAsia="黑体"/>
          <w:szCs w:val="24"/>
        </w:rPr>
        <w:t>表1</w:t>
      </w:r>
      <w:r>
        <w:rPr>
          <w:rFonts w:ascii="黑体" w:hAnsi="黑体" w:eastAsia="黑体"/>
          <w:szCs w:val="24"/>
        </w:rPr>
        <w:t xml:space="preserve"> </w:t>
      </w:r>
      <w:r>
        <w:rPr>
          <w:rFonts w:hint="eastAsia" w:ascii="黑体" w:hAnsi="黑体" w:eastAsia="黑体"/>
          <w:szCs w:val="24"/>
        </w:rPr>
        <w:t>路面主要损坏类型</w:t>
      </w:r>
    </w:p>
    <w:tbl>
      <w:tblPr>
        <w:tblStyle w:val="13"/>
        <w:tblW w:w="9315" w:type="dxa"/>
        <w:tblInd w:w="0" w:type="dxa"/>
        <w:tblLayout w:type="fixed"/>
        <w:tblCellMar>
          <w:top w:w="15" w:type="dxa"/>
          <w:left w:w="15" w:type="dxa"/>
          <w:bottom w:w="15" w:type="dxa"/>
          <w:right w:w="15" w:type="dxa"/>
        </w:tblCellMar>
      </w:tblPr>
      <w:tblGrid>
        <w:gridCol w:w="1080"/>
        <w:gridCol w:w="1935"/>
        <w:gridCol w:w="6300"/>
      </w:tblGrid>
      <w:tr w14:paraId="472A8C5C">
        <w:tblPrEx>
          <w:tblCellMar>
            <w:top w:w="15" w:type="dxa"/>
            <w:left w:w="15" w:type="dxa"/>
            <w:bottom w:w="15" w:type="dxa"/>
            <w:right w:w="15" w:type="dxa"/>
          </w:tblCellMar>
        </w:tblPrEx>
        <w:trPr>
          <w:trHeight w:val="480" w:hRule="atLeast"/>
        </w:trPr>
        <w:tc>
          <w:tcPr>
            <w:tcW w:w="301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9FA6637">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部 位</w:t>
            </w:r>
          </w:p>
        </w:tc>
        <w:tc>
          <w:tcPr>
            <w:tcW w:w="6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50D26">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主 要 损 坏 类 型</w:t>
            </w:r>
          </w:p>
        </w:tc>
      </w:tr>
      <w:tr w14:paraId="3C1EF7AF">
        <w:tblPrEx>
          <w:tblCellMar>
            <w:top w:w="15" w:type="dxa"/>
            <w:left w:w="15" w:type="dxa"/>
            <w:bottom w:w="15" w:type="dxa"/>
            <w:right w:w="15" w:type="dxa"/>
          </w:tblCellMar>
        </w:tblPrEx>
        <w:trPr>
          <w:trHeight w:val="480" w:hRule="atLeast"/>
        </w:trPr>
        <w:tc>
          <w:tcPr>
            <w:tcW w:w="108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3ACA2D">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车行道</w:t>
            </w:r>
          </w:p>
        </w:tc>
        <w:tc>
          <w:tcPr>
            <w:tcW w:w="193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E7D965">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沥青路面</w:t>
            </w:r>
          </w:p>
        </w:tc>
        <w:tc>
          <w:tcPr>
            <w:tcW w:w="6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3937A">
            <w:pPr>
              <w:widowControl/>
              <w:textAlignment w:val="center"/>
              <w:rPr>
                <w:rFonts w:ascii="宋体" w:hAnsi="宋体" w:cs="宋体"/>
                <w:color w:val="000000"/>
                <w:sz w:val="24"/>
                <w:szCs w:val="24"/>
              </w:rPr>
            </w:pPr>
            <w:r>
              <w:rPr>
                <w:rFonts w:hint="eastAsia" w:ascii="宋体" w:hAnsi="宋体" w:cs="宋体"/>
                <w:color w:val="000000"/>
                <w:kern w:val="0"/>
                <w:sz w:val="24"/>
                <w:szCs w:val="24"/>
                <w:lang w:bidi="ar"/>
              </w:rPr>
              <w:t>线裂、网裂、龟裂</w:t>
            </w:r>
          </w:p>
        </w:tc>
      </w:tr>
      <w:tr w14:paraId="6CFA32EC">
        <w:tblPrEx>
          <w:tblCellMar>
            <w:top w:w="15" w:type="dxa"/>
            <w:left w:w="15" w:type="dxa"/>
            <w:bottom w:w="15" w:type="dxa"/>
            <w:right w:w="15" w:type="dxa"/>
          </w:tblCellMar>
        </w:tblPrEx>
        <w:trPr>
          <w:trHeight w:val="480"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55A3A5">
            <w:pPr>
              <w:jc w:val="center"/>
              <w:rPr>
                <w:rFonts w:ascii="宋体" w:hAnsi="宋体" w:cs="宋体"/>
                <w:color w:val="000000"/>
                <w:sz w:val="24"/>
                <w:szCs w:val="24"/>
              </w:rPr>
            </w:pPr>
          </w:p>
        </w:tc>
        <w:tc>
          <w:tcPr>
            <w:tcW w:w="19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5E523C">
            <w:pPr>
              <w:jc w:val="center"/>
              <w:rPr>
                <w:rFonts w:ascii="宋体" w:hAnsi="宋体" w:cs="宋体"/>
                <w:color w:val="000000"/>
                <w:sz w:val="24"/>
                <w:szCs w:val="24"/>
              </w:rPr>
            </w:pPr>
          </w:p>
        </w:tc>
        <w:tc>
          <w:tcPr>
            <w:tcW w:w="6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60D01">
            <w:pPr>
              <w:widowControl/>
              <w:textAlignment w:val="center"/>
              <w:rPr>
                <w:rFonts w:ascii="宋体" w:hAnsi="宋体" w:cs="宋体"/>
                <w:color w:val="000000"/>
                <w:sz w:val="24"/>
                <w:szCs w:val="24"/>
              </w:rPr>
            </w:pPr>
            <w:r>
              <w:rPr>
                <w:rFonts w:hint="eastAsia" w:ascii="宋体" w:hAnsi="宋体" w:cs="宋体"/>
                <w:color w:val="000000"/>
                <w:kern w:val="0"/>
                <w:sz w:val="24"/>
                <w:szCs w:val="24"/>
                <w:lang w:bidi="ar"/>
              </w:rPr>
              <w:t>拥包、车辙、沉陷、翻浆</w:t>
            </w:r>
          </w:p>
        </w:tc>
      </w:tr>
      <w:tr w14:paraId="08FF39F8">
        <w:tblPrEx>
          <w:tblCellMar>
            <w:top w:w="15" w:type="dxa"/>
            <w:left w:w="15" w:type="dxa"/>
            <w:bottom w:w="15" w:type="dxa"/>
            <w:right w:w="15" w:type="dxa"/>
          </w:tblCellMar>
        </w:tblPrEx>
        <w:trPr>
          <w:trHeight w:val="480"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999256">
            <w:pPr>
              <w:jc w:val="center"/>
              <w:rPr>
                <w:rFonts w:ascii="宋体" w:hAnsi="宋体" w:cs="宋体"/>
                <w:color w:val="000000"/>
                <w:sz w:val="24"/>
                <w:szCs w:val="24"/>
              </w:rPr>
            </w:pPr>
          </w:p>
        </w:tc>
        <w:tc>
          <w:tcPr>
            <w:tcW w:w="19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573A87">
            <w:pPr>
              <w:jc w:val="center"/>
              <w:rPr>
                <w:rFonts w:ascii="宋体" w:hAnsi="宋体" w:cs="宋体"/>
                <w:color w:val="000000"/>
                <w:sz w:val="24"/>
                <w:szCs w:val="24"/>
              </w:rPr>
            </w:pPr>
          </w:p>
        </w:tc>
        <w:tc>
          <w:tcPr>
            <w:tcW w:w="6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937EA">
            <w:pPr>
              <w:widowControl/>
              <w:textAlignment w:val="center"/>
              <w:rPr>
                <w:rFonts w:ascii="宋体" w:hAnsi="宋体" w:cs="宋体"/>
                <w:color w:val="000000"/>
                <w:sz w:val="24"/>
                <w:szCs w:val="24"/>
              </w:rPr>
            </w:pPr>
            <w:r>
              <w:rPr>
                <w:rFonts w:hint="eastAsia" w:ascii="宋体" w:hAnsi="宋体" w:cs="宋体"/>
                <w:color w:val="000000"/>
                <w:kern w:val="0"/>
                <w:sz w:val="24"/>
                <w:szCs w:val="24"/>
                <w:lang w:bidi="ar"/>
              </w:rPr>
              <w:t>剥落、坑槽、啃边</w:t>
            </w:r>
          </w:p>
        </w:tc>
      </w:tr>
      <w:tr w14:paraId="7BAFD3E8">
        <w:tblPrEx>
          <w:tblCellMar>
            <w:top w:w="15" w:type="dxa"/>
            <w:left w:w="15" w:type="dxa"/>
            <w:bottom w:w="15" w:type="dxa"/>
            <w:right w:w="15" w:type="dxa"/>
          </w:tblCellMar>
        </w:tblPrEx>
        <w:trPr>
          <w:trHeight w:val="480"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2E6AF3">
            <w:pPr>
              <w:jc w:val="center"/>
              <w:rPr>
                <w:rFonts w:ascii="宋体" w:hAnsi="宋体" w:cs="宋体"/>
                <w:color w:val="000000"/>
                <w:sz w:val="24"/>
                <w:szCs w:val="24"/>
              </w:rPr>
            </w:pPr>
          </w:p>
        </w:tc>
        <w:tc>
          <w:tcPr>
            <w:tcW w:w="19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2584AB">
            <w:pPr>
              <w:jc w:val="center"/>
              <w:rPr>
                <w:rFonts w:ascii="宋体" w:hAnsi="宋体" w:cs="宋体"/>
                <w:color w:val="000000"/>
                <w:sz w:val="24"/>
                <w:szCs w:val="24"/>
              </w:rPr>
            </w:pPr>
          </w:p>
        </w:tc>
        <w:tc>
          <w:tcPr>
            <w:tcW w:w="6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78DF3">
            <w:pPr>
              <w:widowControl/>
              <w:textAlignment w:val="center"/>
              <w:rPr>
                <w:rFonts w:ascii="宋体" w:hAnsi="宋体" w:cs="宋体"/>
                <w:color w:val="000000"/>
                <w:sz w:val="24"/>
                <w:szCs w:val="24"/>
              </w:rPr>
            </w:pPr>
            <w:r>
              <w:rPr>
                <w:rFonts w:hint="eastAsia" w:ascii="宋体" w:hAnsi="宋体" w:cs="宋体"/>
                <w:color w:val="000000"/>
                <w:kern w:val="0"/>
                <w:sz w:val="24"/>
                <w:szCs w:val="24"/>
                <w:lang w:bidi="ar"/>
              </w:rPr>
              <w:t>路框差、唧浆、泛油</w:t>
            </w:r>
          </w:p>
        </w:tc>
      </w:tr>
      <w:tr w14:paraId="07E1DBFD">
        <w:tblPrEx>
          <w:tblCellMar>
            <w:top w:w="15" w:type="dxa"/>
            <w:left w:w="15" w:type="dxa"/>
            <w:bottom w:w="15" w:type="dxa"/>
            <w:right w:w="15" w:type="dxa"/>
          </w:tblCellMar>
        </w:tblPrEx>
        <w:trPr>
          <w:trHeight w:val="480"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0F06FD">
            <w:pPr>
              <w:jc w:val="center"/>
              <w:rPr>
                <w:rFonts w:ascii="宋体" w:hAnsi="宋体" w:cs="宋体"/>
                <w:color w:val="000000"/>
                <w:sz w:val="24"/>
                <w:szCs w:val="24"/>
              </w:rPr>
            </w:pPr>
          </w:p>
        </w:tc>
        <w:tc>
          <w:tcPr>
            <w:tcW w:w="193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9BB717">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水泥混凝土路面</w:t>
            </w:r>
          </w:p>
        </w:tc>
        <w:tc>
          <w:tcPr>
            <w:tcW w:w="6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074B6">
            <w:pPr>
              <w:widowControl/>
              <w:textAlignment w:val="center"/>
              <w:rPr>
                <w:rFonts w:ascii="宋体" w:hAnsi="宋体" w:cs="宋体"/>
                <w:color w:val="000000"/>
                <w:sz w:val="24"/>
                <w:szCs w:val="24"/>
              </w:rPr>
            </w:pPr>
            <w:r>
              <w:rPr>
                <w:rFonts w:hint="eastAsia" w:ascii="宋体" w:hAnsi="宋体" w:cs="宋体"/>
                <w:color w:val="000000"/>
                <w:kern w:val="0"/>
                <w:sz w:val="24"/>
                <w:szCs w:val="24"/>
                <w:lang w:bidi="ar"/>
              </w:rPr>
              <w:t>线裂、板角断裂、边角裂缝、交叉裂缝和破碎板</w:t>
            </w:r>
          </w:p>
        </w:tc>
      </w:tr>
      <w:tr w14:paraId="65DAE314">
        <w:tblPrEx>
          <w:tblCellMar>
            <w:top w:w="15" w:type="dxa"/>
            <w:left w:w="15" w:type="dxa"/>
            <w:bottom w:w="15" w:type="dxa"/>
            <w:right w:w="15" w:type="dxa"/>
          </w:tblCellMar>
        </w:tblPrEx>
        <w:trPr>
          <w:trHeight w:val="480"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E89152">
            <w:pPr>
              <w:jc w:val="center"/>
              <w:rPr>
                <w:rFonts w:ascii="宋体" w:hAnsi="宋体" w:cs="宋体"/>
                <w:color w:val="000000"/>
                <w:sz w:val="24"/>
                <w:szCs w:val="24"/>
              </w:rPr>
            </w:pPr>
          </w:p>
        </w:tc>
        <w:tc>
          <w:tcPr>
            <w:tcW w:w="19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59A72C">
            <w:pPr>
              <w:jc w:val="center"/>
              <w:rPr>
                <w:rFonts w:ascii="宋体" w:hAnsi="宋体" w:cs="宋体"/>
                <w:color w:val="000000"/>
                <w:sz w:val="24"/>
                <w:szCs w:val="24"/>
              </w:rPr>
            </w:pPr>
          </w:p>
        </w:tc>
        <w:tc>
          <w:tcPr>
            <w:tcW w:w="6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D2F23">
            <w:pPr>
              <w:widowControl/>
              <w:textAlignment w:val="center"/>
              <w:rPr>
                <w:rFonts w:ascii="宋体" w:hAnsi="宋体" w:cs="宋体"/>
                <w:color w:val="000000"/>
                <w:sz w:val="24"/>
                <w:szCs w:val="24"/>
              </w:rPr>
            </w:pPr>
            <w:r>
              <w:rPr>
                <w:rFonts w:hint="eastAsia" w:ascii="宋体" w:hAnsi="宋体" w:cs="宋体"/>
                <w:color w:val="000000"/>
                <w:kern w:val="0"/>
                <w:sz w:val="24"/>
                <w:szCs w:val="24"/>
                <w:lang w:bidi="ar"/>
              </w:rPr>
              <w:t>接缝料损坏、边角剥落</w:t>
            </w:r>
          </w:p>
        </w:tc>
      </w:tr>
      <w:tr w14:paraId="7916BCC9">
        <w:tblPrEx>
          <w:tblCellMar>
            <w:top w:w="15" w:type="dxa"/>
            <w:left w:w="15" w:type="dxa"/>
            <w:bottom w:w="15" w:type="dxa"/>
            <w:right w:w="15" w:type="dxa"/>
          </w:tblCellMar>
        </w:tblPrEx>
        <w:trPr>
          <w:trHeight w:val="480"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F2CFFC">
            <w:pPr>
              <w:jc w:val="center"/>
              <w:rPr>
                <w:rFonts w:ascii="宋体" w:hAnsi="宋体" w:cs="宋体"/>
                <w:color w:val="000000"/>
                <w:sz w:val="24"/>
                <w:szCs w:val="24"/>
              </w:rPr>
            </w:pPr>
          </w:p>
        </w:tc>
        <w:tc>
          <w:tcPr>
            <w:tcW w:w="19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DC6AF9">
            <w:pPr>
              <w:jc w:val="center"/>
              <w:rPr>
                <w:rFonts w:ascii="宋体" w:hAnsi="宋体" w:cs="宋体"/>
                <w:color w:val="000000"/>
                <w:sz w:val="24"/>
                <w:szCs w:val="24"/>
              </w:rPr>
            </w:pPr>
          </w:p>
        </w:tc>
        <w:tc>
          <w:tcPr>
            <w:tcW w:w="6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1BE76">
            <w:pPr>
              <w:widowControl/>
              <w:textAlignment w:val="center"/>
              <w:rPr>
                <w:rFonts w:ascii="宋体" w:hAnsi="宋体" w:cs="宋体"/>
                <w:color w:val="000000"/>
                <w:sz w:val="24"/>
                <w:szCs w:val="24"/>
              </w:rPr>
            </w:pPr>
            <w:r>
              <w:rPr>
                <w:rFonts w:hint="eastAsia" w:ascii="宋体" w:hAnsi="宋体" w:cs="宋体"/>
                <w:color w:val="000000"/>
                <w:kern w:val="0"/>
                <w:sz w:val="24"/>
                <w:szCs w:val="24"/>
                <w:lang w:bidi="ar"/>
              </w:rPr>
              <w:t>坑洞、表面纹裂、层状剥落</w:t>
            </w:r>
          </w:p>
        </w:tc>
      </w:tr>
      <w:tr w14:paraId="3B5399FB">
        <w:tblPrEx>
          <w:tblCellMar>
            <w:top w:w="15" w:type="dxa"/>
            <w:left w:w="15" w:type="dxa"/>
            <w:bottom w:w="15" w:type="dxa"/>
            <w:right w:w="15" w:type="dxa"/>
          </w:tblCellMar>
        </w:tblPrEx>
        <w:trPr>
          <w:trHeight w:val="480"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9147D0">
            <w:pPr>
              <w:jc w:val="center"/>
              <w:rPr>
                <w:rFonts w:ascii="宋体" w:hAnsi="宋体" w:cs="宋体"/>
                <w:color w:val="000000"/>
                <w:sz w:val="24"/>
                <w:szCs w:val="24"/>
              </w:rPr>
            </w:pPr>
          </w:p>
        </w:tc>
        <w:tc>
          <w:tcPr>
            <w:tcW w:w="19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31B54F">
            <w:pPr>
              <w:jc w:val="center"/>
              <w:rPr>
                <w:rFonts w:ascii="宋体" w:hAnsi="宋体" w:cs="宋体"/>
                <w:color w:val="000000"/>
                <w:sz w:val="24"/>
                <w:szCs w:val="24"/>
              </w:rPr>
            </w:pPr>
          </w:p>
        </w:tc>
        <w:tc>
          <w:tcPr>
            <w:tcW w:w="6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6451B">
            <w:pPr>
              <w:widowControl/>
              <w:textAlignment w:val="center"/>
              <w:rPr>
                <w:rFonts w:ascii="宋体" w:hAnsi="宋体" w:cs="宋体"/>
                <w:color w:val="000000"/>
                <w:sz w:val="24"/>
                <w:szCs w:val="24"/>
              </w:rPr>
            </w:pPr>
            <w:r>
              <w:rPr>
                <w:rFonts w:hint="eastAsia" w:ascii="宋体" w:hAnsi="宋体" w:cs="宋体"/>
                <w:color w:val="000000"/>
                <w:kern w:val="0"/>
                <w:sz w:val="24"/>
                <w:szCs w:val="24"/>
                <w:lang w:bidi="ar"/>
              </w:rPr>
              <w:t>错台、拱胀、唧浆、路框差、沉陷</w:t>
            </w:r>
          </w:p>
        </w:tc>
      </w:tr>
      <w:tr w14:paraId="0D8F81A4">
        <w:tblPrEx>
          <w:tblCellMar>
            <w:top w:w="15" w:type="dxa"/>
            <w:left w:w="15" w:type="dxa"/>
            <w:bottom w:w="15" w:type="dxa"/>
            <w:right w:w="15" w:type="dxa"/>
          </w:tblCellMar>
        </w:tblPrEx>
        <w:trPr>
          <w:trHeight w:val="480" w:hRule="atLeast"/>
        </w:trPr>
        <w:tc>
          <w:tcPr>
            <w:tcW w:w="301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C4F55CD">
            <w:pPr>
              <w:widowControl/>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人行道</w:t>
            </w:r>
          </w:p>
        </w:tc>
        <w:tc>
          <w:tcPr>
            <w:tcW w:w="6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09060">
            <w:pPr>
              <w:widowControl/>
              <w:textAlignment w:val="center"/>
              <w:rPr>
                <w:rFonts w:ascii="宋体" w:hAnsi="宋体" w:cs="宋体"/>
                <w:color w:val="000000"/>
                <w:sz w:val="24"/>
                <w:szCs w:val="24"/>
              </w:rPr>
            </w:pPr>
            <w:r>
              <w:rPr>
                <w:rFonts w:hint="eastAsia" w:ascii="宋体" w:hAnsi="宋体" w:cs="宋体"/>
                <w:color w:val="000000"/>
                <w:kern w:val="0"/>
                <w:sz w:val="24"/>
                <w:szCs w:val="24"/>
                <w:lang w:bidi="ar"/>
              </w:rPr>
              <w:t>裂缝、松动或变形、残缺</w:t>
            </w:r>
          </w:p>
        </w:tc>
      </w:tr>
    </w:tbl>
    <w:p w14:paraId="19B50E1E">
      <w:pPr>
        <w:pStyle w:val="26"/>
        <w:ind w:left="560" w:firstLine="560"/>
        <w:jc w:val="left"/>
        <w:rPr>
          <w:rFonts w:hAnsi="宋体"/>
          <w:sz w:val="28"/>
          <w:szCs w:val="28"/>
        </w:rPr>
      </w:pPr>
    </w:p>
    <w:p w14:paraId="54443B48">
      <w:pPr>
        <w:pStyle w:val="26"/>
        <w:numPr>
          <w:ilvl w:val="0"/>
          <w:numId w:val="3"/>
        </w:numPr>
        <w:ind w:firstLineChars="0"/>
        <w:jc w:val="left"/>
        <w:rPr>
          <w:rFonts w:hAnsi="宋体"/>
          <w:sz w:val="28"/>
          <w:szCs w:val="28"/>
        </w:rPr>
      </w:pPr>
      <w:r>
        <w:rPr>
          <w:rFonts w:hint="eastAsia" w:hAnsi="宋体"/>
          <w:sz w:val="28"/>
          <w:szCs w:val="28"/>
        </w:rPr>
        <w:t>路基的完好情况。主要包括</w:t>
      </w:r>
      <w:r>
        <w:rPr>
          <w:rFonts w:hAnsi="宋体"/>
          <w:sz w:val="28"/>
          <w:szCs w:val="28"/>
        </w:rPr>
        <w:t>:路基、路肩、边坡、挡土墙等</w:t>
      </w:r>
      <w:r>
        <w:rPr>
          <w:rFonts w:hint="eastAsia" w:hAnsi="宋体"/>
          <w:sz w:val="28"/>
          <w:szCs w:val="28"/>
        </w:rPr>
        <w:t>。</w:t>
      </w:r>
    </w:p>
    <w:p w14:paraId="4A8EBC81">
      <w:pPr>
        <w:pStyle w:val="26"/>
        <w:numPr>
          <w:ilvl w:val="0"/>
          <w:numId w:val="3"/>
        </w:numPr>
        <w:ind w:firstLineChars="0"/>
        <w:jc w:val="left"/>
        <w:rPr>
          <w:rFonts w:hAnsi="宋体"/>
          <w:sz w:val="28"/>
          <w:szCs w:val="28"/>
        </w:rPr>
      </w:pPr>
      <w:r>
        <w:rPr>
          <w:rFonts w:hint="eastAsia" w:hAnsi="宋体"/>
          <w:sz w:val="28"/>
          <w:szCs w:val="28"/>
        </w:rPr>
        <w:t>附属设施的完好情况。主要包括</w:t>
      </w:r>
      <w:r>
        <w:rPr>
          <w:rFonts w:hAnsi="宋体"/>
          <w:sz w:val="28"/>
          <w:szCs w:val="28"/>
        </w:rPr>
        <w:t>:声屏障、标志牌、分隔带、护栏、防眩板、隔离墩、涵洞、</w:t>
      </w:r>
      <w:r>
        <w:rPr>
          <w:rFonts w:hint="eastAsia" w:hAnsi="宋体"/>
          <w:sz w:val="28"/>
          <w:szCs w:val="28"/>
        </w:rPr>
        <w:t>边沟、排水沟、截水沟、检查井、雨水口等。</w:t>
      </w:r>
    </w:p>
    <w:p w14:paraId="23542669">
      <w:pPr>
        <w:pStyle w:val="26"/>
        <w:numPr>
          <w:ilvl w:val="0"/>
          <w:numId w:val="3"/>
        </w:numPr>
        <w:ind w:firstLineChars="0"/>
        <w:jc w:val="left"/>
        <w:rPr>
          <w:rFonts w:hAnsi="宋体"/>
          <w:color w:val="FF0000"/>
          <w:sz w:val="28"/>
          <w:szCs w:val="28"/>
        </w:rPr>
      </w:pPr>
      <w:r>
        <w:rPr>
          <w:rFonts w:hint="eastAsia" w:hAnsi="宋体"/>
          <w:sz w:val="28"/>
          <w:szCs w:val="28"/>
        </w:rPr>
        <w:t>道路范围内的施工作业对道路设施的影响。主要包括：占道、挖掘、架设、增设管线设施等。</w:t>
      </w:r>
    </w:p>
    <w:p w14:paraId="7CA73E13">
      <w:pPr>
        <w:pStyle w:val="26"/>
        <w:numPr>
          <w:ilvl w:val="0"/>
          <w:numId w:val="3"/>
        </w:numPr>
        <w:ind w:firstLineChars="0"/>
        <w:jc w:val="left"/>
        <w:rPr>
          <w:rFonts w:hAnsi="宋体"/>
          <w:sz w:val="28"/>
          <w:szCs w:val="28"/>
        </w:rPr>
      </w:pPr>
      <w:r>
        <w:rPr>
          <w:rFonts w:hint="eastAsia" w:hAnsi="宋体"/>
          <w:sz w:val="28"/>
          <w:szCs w:val="28"/>
        </w:rPr>
        <w:t>道路积水、异物侵入及其他不正常损坏现象。</w:t>
      </w:r>
    </w:p>
    <w:p w14:paraId="04628DC4">
      <w:pPr>
        <w:pStyle w:val="4"/>
        <w:rPr>
          <w:rFonts w:ascii="宋体" w:hAnsi="宋体" w:cs="Times New Roman"/>
          <w:b/>
          <w:kern w:val="0"/>
          <w:szCs w:val="28"/>
        </w:rPr>
      </w:pPr>
      <w:r>
        <w:rPr>
          <w:rFonts w:hint="eastAsia" w:ascii="宋体" w:hAnsi="宋体" w:cs="Times New Roman"/>
          <w:b/>
          <w:kern w:val="0"/>
          <w:szCs w:val="28"/>
        </w:rPr>
        <w:t>巡查频率</w:t>
      </w:r>
    </w:p>
    <w:p w14:paraId="57AE9F3D">
      <w:pPr>
        <w:ind w:firstLine="560" w:firstLineChars="200"/>
        <w:rPr>
          <w:rFonts w:ascii="宋体" w:hAnsi="宋体" w:cs="Times New Roman"/>
          <w:kern w:val="0"/>
          <w:szCs w:val="28"/>
        </w:rPr>
      </w:pPr>
      <w:r>
        <w:rPr>
          <w:rFonts w:hint="eastAsia" w:ascii="宋体" w:hAnsi="宋体" w:cs="Times New Roman"/>
          <w:kern w:val="0"/>
          <w:szCs w:val="28"/>
        </w:rPr>
        <w:t>巡检频率应符合下列要求：</w:t>
      </w:r>
    </w:p>
    <w:p w14:paraId="6AFAB46C">
      <w:pPr>
        <w:pStyle w:val="26"/>
        <w:numPr>
          <w:ilvl w:val="0"/>
          <w:numId w:val="4"/>
        </w:numPr>
        <w:ind w:left="980" w:firstLineChars="0"/>
        <w:rPr>
          <w:rFonts w:hAnsi="宋体"/>
          <w:sz w:val="28"/>
          <w:szCs w:val="28"/>
        </w:rPr>
      </w:pPr>
      <w:r>
        <w:rPr>
          <w:rFonts w:hint="eastAsia" w:hAnsi="宋体"/>
          <w:sz w:val="28"/>
          <w:szCs w:val="28"/>
        </w:rPr>
        <w:t>日常巡查应按道路养护等级、设施情况、所在区域、重要程度等综合制定巡检频率。</w:t>
      </w:r>
    </w:p>
    <w:p w14:paraId="4EB61E28">
      <w:pPr>
        <w:pStyle w:val="26"/>
        <w:numPr>
          <w:ilvl w:val="0"/>
          <w:numId w:val="4"/>
        </w:numPr>
        <w:ind w:left="980" w:firstLineChars="0"/>
        <w:rPr>
          <w:rFonts w:hAnsi="宋体"/>
          <w:sz w:val="28"/>
          <w:szCs w:val="28"/>
        </w:rPr>
      </w:pPr>
      <w:r>
        <w:rPr>
          <w:rFonts w:hint="eastAsia" w:hAnsi="宋体"/>
          <w:sz w:val="28"/>
          <w:szCs w:val="28"/>
        </w:rPr>
        <w:t>日常巡查应按道路养护等级分别制定巡查周期。</w:t>
      </w:r>
      <w:r>
        <w:rPr>
          <w:rFonts w:hAnsi="宋体"/>
          <w:sz w:val="28"/>
          <w:szCs w:val="28"/>
        </w:rPr>
        <w:t>I等养护的道路</w:t>
      </w:r>
      <w:r>
        <w:rPr>
          <w:rFonts w:hint="eastAsia" w:hAnsi="宋体"/>
          <w:sz w:val="28"/>
          <w:szCs w:val="28"/>
        </w:rPr>
        <w:t>应</w:t>
      </w:r>
      <w:r>
        <w:rPr>
          <w:rFonts w:hAnsi="宋体"/>
          <w:sz w:val="28"/>
          <w:szCs w:val="28"/>
        </w:rPr>
        <w:t>每</w:t>
      </w:r>
      <w:r>
        <w:rPr>
          <w:rFonts w:hint="eastAsia" w:hAnsi="宋体"/>
          <w:sz w:val="28"/>
          <w:szCs w:val="28"/>
        </w:rPr>
        <w:t>周</w:t>
      </w:r>
      <w:r>
        <w:rPr>
          <w:rFonts w:hAnsi="宋体"/>
          <w:sz w:val="28"/>
          <w:szCs w:val="28"/>
        </w:rPr>
        <w:t>日一巡</w:t>
      </w:r>
      <w:r>
        <w:rPr>
          <w:rFonts w:hint="eastAsia" w:hAnsi="宋体"/>
          <w:sz w:val="28"/>
          <w:szCs w:val="28"/>
        </w:rPr>
        <w:t>；</w:t>
      </w:r>
      <w:r>
        <w:rPr>
          <w:rFonts w:hAnsi="宋体"/>
          <w:sz w:val="28"/>
          <w:szCs w:val="28"/>
        </w:rPr>
        <w:t>Ⅱ等养护的道路</w:t>
      </w:r>
      <w:r>
        <w:rPr>
          <w:rFonts w:hint="eastAsia" w:hAnsi="宋体"/>
          <w:sz w:val="28"/>
          <w:szCs w:val="28"/>
        </w:rPr>
        <w:t>应两周一巡；</w:t>
      </w:r>
      <w:r>
        <w:rPr>
          <w:rFonts w:hAnsi="宋体"/>
          <w:sz w:val="28"/>
          <w:szCs w:val="28"/>
        </w:rPr>
        <w:fldChar w:fldCharType="begin"/>
      </w:r>
      <w:r>
        <w:rPr>
          <w:rFonts w:hAnsi="宋体"/>
          <w:sz w:val="28"/>
          <w:szCs w:val="28"/>
        </w:rPr>
        <w:instrText xml:space="preserve"> </w:instrText>
      </w:r>
      <w:r>
        <w:rPr>
          <w:rFonts w:hint="eastAsia" w:hAnsi="宋体"/>
          <w:sz w:val="28"/>
          <w:szCs w:val="28"/>
        </w:rPr>
        <w:instrText xml:space="preserve">= 3 \* ROMAN</w:instrText>
      </w:r>
      <w:r>
        <w:rPr>
          <w:rFonts w:hAnsi="宋体"/>
          <w:sz w:val="28"/>
          <w:szCs w:val="28"/>
        </w:rPr>
        <w:instrText xml:space="preserve"> </w:instrText>
      </w:r>
      <w:r>
        <w:rPr>
          <w:rFonts w:hAnsi="宋体"/>
          <w:sz w:val="28"/>
          <w:szCs w:val="28"/>
        </w:rPr>
        <w:fldChar w:fldCharType="separate"/>
      </w:r>
      <w:r>
        <w:rPr>
          <w:rFonts w:hAnsi="宋体"/>
          <w:sz w:val="28"/>
          <w:szCs w:val="28"/>
        </w:rPr>
        <w:t>III</w:t>
      </w:r>
      <w:r>
        <w:rPr>
          <w:rFonts w:hAnsi="宋体"/>
          <w:sz w:val="28"/>
          <w:szCs w:val="28"/>
        </w:rPr>
        <w:fldChar w:fldCharType="end"/>
      </w:r>
      <w:r>
        <w:rPr>
          <w:rFonts w:hAnsi="宋体"/>
          <w:sz w:val="28"/>
          <w:szCs w:val="28"/>
        </w:rPr>
        <w:t>等养护的道路</w:t>
      </w:r>
      <w:r>
        <w:rPr>
          <w:rFonts w:hint="eastAsia" w:hAnsi="宋体"/>
          <w:sz w:val="28"/>
          <w:szCs w:val="28"/>
        </w:rPr>
        <w:t>每月</w:t>
      </w:r>
      <w:r>
        <w:rPr>
          <w:rFonts w:hAnsi="宋体"/>
          <w:sz w:val="28"/>
          <w:szCs w:val="28"/>
        </w:rPr>
        <w:t>一巡。</w:t>
      </w:r>
    </w:p>
    <w:p w14:paraId="300999EA">
      <w:pPr>
        <w:pStyle w:val="26"/>
        <w:numPr>
          <w:ilvl w:val="0"/>
          <w:numId w:val="4"/>
        </w:numPr>
        <w:ind w:left="980" w:firstLineChars="0"/>
        <w:rPr>
          <w:rFonts w:hAnsi="宋体"/>
          <w:sz w:val="28"/>
          <w:szCs w:val="28"/>
        </w:rPr>
      </w:pPr>
      <w:r>
        <w:rPr>
          <w:rFonts w:hint="eastAsia" w:hAnsi="宋体"/>
          <w:sz w:val="28"/>
          <w:szCs w:val="28"/>
        </w:rPr>
        <w:t>遇极端高温、低温冰冻、暴雨、暴雪等自然灾害或突发事件应根据实际情况适当增加巡检频率。</w:t>
      </w:r>
    </w:p>
    <w:p w14:paraId="2D187E68">
      <w:pPr>
        <w:pStyle w:val="26"/>
        <w:numPr>
          <w:ilvl w:val="0"/>
          <w:numId w:val="4"/>
        </w:numPr>
        <w:ind w:left="980" w:firstLineChars="0"/>
        <w:rPr>
          <w:rFonts w:hAnsi="宋体"/>
          <w:sz w:val="28"/>
          <w:szCs w:val="28"/>
        </w:rPr>
      </w:pPr>
      <w:r>
        <w:rPr>
          <w:rFonts w:hAnsi="宋体"/>
          <w:sz w:val="28"/>
          <w:szCs w:val="28"/>
        </w:rPr>
        <w:t>日常巡查记录应定期整理归档，并提出处理意见。</w:t>
      </w:r>
    </w:p>
    <w:p w14:paraId="3CE20BB3">
      <w:pPr>
        <w:pStyle w:val="3"/>
        <w:spacing w:before="156" w:after="156"/>
      </w:pPr>
      <w:bookmarkStart w:id="42" w:name="_Toc200377212"/>
      <w:bookmarkStart w:id="43" w:name="_Toc14132"/>
      <w:r>
        <w:rPr>
          <w:rFonts w:hint="eastAsia"/>
        </w:rPr>
        <w:t>定期检测</w:t>
      </w:r>
      <w:bookmarkEnd w:id="42"/>
      <w:bookmarkEnd w:id="43"/>
    </w:p>
    <w:p w14:paraId="674C41BA">
      <w:pPr>
        <w:pStyle w:val="4"/>
        <w:rPr>
          <w:b/>
          <w:bCs w:val="0"/>
        </w:rPr>
      </w:pPr>
      <w:r>
        <w:rPr>
          <w:rFonts w:hint="eastAsia"/>
          <w:b/>
          <w:bCs w:val="0"/>
        </w:rPr>
        <w:t>检查内容</w:t>
      </w:r>
    </w:p>
    <w:p w14:paraId="0BF09F39">
      <w:pPr>
        <w:ind w:firstLine="560" w:firstLineChars="200"/>
        <w:rPr>
          <w:rFonts w:ascii="宋体" w:hAnsi="宋体"/>
          <w:szCs w:val="28"/>
        </w:rPr>
      </w:pPr>
      <w:r>
        <w:rPr>
          <w:rFonts w:hint="eastAsia" w:ascii="宋体" w:hAnsi="宋体"/>
          <w:szCs w:val="28"/>
        </w:rPr>
        <w:t>定期检测应</w:t>
      </w:r>
      <w:r>
        <w:rPr>
          <w:rFonts w:hint="eastAsia" w:ascii="宋体" w:hAnsi="宋体" w:cs="Times New Roman"/>
          <w:kern w:val="0"/>
          <w:szCs w:val="28"/>
        </w:rPr>
        <w:t>分为</w:t>
      </w:r>
      <w:r>
        <w:rPr>
          <w:rFonts w:hint="eastAsia" w:ascii="宋体" w:hAnsi="宋体"/>
          <w:szCs w:val="28"/>
        </w:rPr>
        <w:t>常规检测和结构强度检测，根据定期检测的结果进行道路评价和定级。常规检测的主要内容包括：</w:t>
      </w:r>
    </w:p>
    <w:p w14:paraId="2207A279">
      <w:pPr>
        <w:pStyle w:val="26"/>
        <w:numPr>
          <w:ilvl w:val="0"/>
          <w:numId w:val="5"/>
        </w:numPr>
        <w:ind w:left="980" w:firstLineChars="0"/>
        <w:rPr>
          <w:rFonts w:hAnsi="宋体"/>
          <w:sz w:val="28"/>
          <w:szCs w:val="28"/>
        </w:rPr>
      </w:pPr>
      <w:r>
        <w:rPr>
          <w:rFonts w:hint="eastAsia" w:hAnsi="宋体"/>
          <w:sz w:val="28"/>
          <w:szCs w:val="28"/>
        </w:rPr>
        <w:t>车行道、人行道的平整度；</w:t>
      </w:r>
    </w:p>
    <w:p w14:paraId="606D39CF">
      <w:pPr>
        <w:pStyle w:val="26"/>
        <w:numPr>
          <w:ilvl w:val="0"/>
          <w:numId w:val="5"/>
        </w:numPr>
        <w:ind w:left="980" w:firstLineChars="0"/>
        <w:rPr>
          <w:rFonts w:hAnsi="宋体"/>
          <w:sz w:val="28"/>
          <w:szCs w:val="28"/>
        </w:rPr>
      </w:pPr>
      <w:r>
        <w:rPr>
          <w:rFonts w:hint="eastAsia" w:hAnsi="宋体"/>
          <w:sz w:val="28"/>
          <w:szCs w:val="28"/>
        </w:rPr>
        <w:t>车行道、人行道的病害与缺陷；</w:t>
      </w:r>
    </w:p>
    <w:p w14:paraId="4FD509C6">
      <w:pPr>
        <w:pStyle w:val="26"/>
        <w:numPr>
          <w:ilvl w:val="0"/>
          <w:numId w:val="5"/>
        </w:numPr>
        <w:ind w:left="980" w:firstLineChars="0"/>
        <w:rPr>
          <w:rFonts w:hAnsi="宋体"/>
          <w:sz w:val="28"/>
          <w:szCs w:val="28"/>
        </w:rPr>
      </w:pPr>
      <w:r>
        <w:rPr>
          <w:rFonts w:hint="eastAsia" w:hAnsi="宋体"/>
          <w:sz w:val="28"/>
          <w:szCs w:val="28"/>
        </w:rPr>
        <w:t>基层损坏状况；</w:t>
      </w:r>
    </w:p>
    <w:p w14:paraId="3C9133C7">
      <w:pPr>
        <w:pStyle w:val="26"/>
        <w:numPr>
          <w:ilvl w:val="0"/>
          <w:numId w:val="5"/>
        </w:numPr>
        <w:ind w:left="980" w:firstLineChars="0"/>
        <w:rPr>
          <w:rFonts w:hAnsi="宋体"/>
          <w:sz w:val="28"/>
          <w:szCs w:val="28"/>
        </w:rPr>
      </w:pPr>
      <w:r>
        <w:rPr>
          <w:rFonts w:hint="eastAsia" w:hAnsi="宋体"/>
          <w:sz w:val="28"/>
          <w:szCs w:val="28"/>
        </w:rPr>
        <w:t>附属设施损坏状况。</w:t>
      </w:r>
    </w:p>
    <w:p w14:paraId="240CCA67">
      <w:pPr>
        <w:pStyle w:val="4"/>
        <w:rPr>
          <w:rFonts w:ascii="宋体" w:hAnsi="宋体" w:cs="Times New Roman"/>
          <w:b/>
          <w:kern w:val="0"/>
          <w:szCs w:val="28"/>
        </w:rPr>
      </w:pPr>
      <w:r>
        <w:rPr>
          <w:rFonts w:hint="eastAsia" w:ascii="宋体" w:hAnsi="宋体" w:cs="Times New Roman"/>
          <w:b/>
          <w:kern w:val="0"/>
          <w:szCs w:val="28"/>
        </w:rPr>
        <w:t>检查频率</w:t>
      </w:r>
    </w:p>
    <w:p w14:paraId="2CE6C0EA">
      <w:pPr>
        <w:ind w:firstLine="560" w:firstLineChars="200"/>
        <w:rPr>
          <w:rFonts w:ascii="宋体" w:hAnsi="宋体"/>
          <w:szCs w:val="28"/>
        </w:rPr>
      </w:pPr>
      <w:r>
        <w:rPr>
          <w:rFonts w:hint="eastAsia" w:ascii="宋体" w:hAnsi="宋体"/>
          <w:szCs w:val="28"/>
        </w:rPr>
        <w:t>常规定期</w:t>
      </w:r>
      <w:r>
        <w:rPr>
          <w:rFonts w:hint="eastAsia" w:ascii="宋体" w:hAnsi="宋体" w:cs="Times New Roman"/>
          <w:kern w:val="0"/>
          <w:szCs w:val="28"/>
        </w:rPr>
        <w:t>检测</w:t>
      </w:r>
      <w:r>
        <w:rPr>
          <w:rFonts w:hint="eastAsia" w:ascii="宋体" w:hAnsi="宋体"/>
          <w:szCs w:val="28"/>
        </w:rPr>
        <w:t>应每年一次。结构强度检测，</w:t>
      </w:r>
      <w:r>
        <w:rPr>
          <w:rFonts w:ascii="宋体" w:hAnsi="宋体"/>
          <w:szCs w:val="28"/>
        </w:rPr>
        <w:fldChar w:fldCharType="begin"/>
      </w:r>
      <w:r>
        <w:rPr>
          <w:rFonts w:ascii="宋体" w:hAnsi="宋体"/>
          <w:szCs w:val="28"/>
        </w:rPr>
        <w:instrText xml:space="preserve"> </w:instrText>
      </w:r>
      <w:r>
        <w:rPr>
          <w:rFonts w:hint="eastAsia" w:ascii="宋体" w:hAnsi="宋体"/>
          <w:szCs w:val="28"/>
        </w:rPr>
        <w:instrText xml:space="preserve">= 1 \* ROMAN</w:instrText>
      </w:r>
      <w:r>
        <w:rPr>
          <w:rFonts w:ascii="宋体" w:hAnsi="宋体"/>
          <w:szCs w:val="28"/>
        </w:rPr>
        <w:instrText xml:space="preserve"> </w:instrText>
      </w:r>
      <w:r>
        <w:rPr>
          <w:rFonts w:ascii="宋体" w:hAnsi="宋体"/>
          <w:szCs w:val="28"/>
        </w:rPr>
        <w:fldChar w:fldCharType="separate"/>
      </w:r>
      <w:r>
        <w:rPr>
          <w:rFonts w:ascii="宋体" w:hAnsi="宋体"/>
          <w:szCs w:val="28"/>
        </w:rPr>
        <w:t>I</w:t>
      </w:r>
      <w:r>
        <w:rPr>
          <w:rFonts w:ascii="宋体" w:hAnsi="宋体"/>
          <w:szCs w:val="28"/>
        </w:rPr>
        <w:fldChar w:fldCharType="end"/>
      </w:r>
      <w:r>
        <w:rPr>
          <w:rFonts w:ascii="宋体" w:hAnsi="宋体"/>
          <w:szCs w:val="28"/>
        </w:rPr>
        <w:t>等养护的道路应3年一次，Ⅱ等、Ⅲ等养护的道</w:t>
      </w:r>
      <w:r>
        <w:rPr>
          <w:rFonts w:hint="eastAsia" w:ascii="宋体" w:hAnsi="宋体"/>
          <w:szCs w:val="28"/>
        </w:rPr>
        <w:t>路宜</w:t>
      </w:r>
      <w:r>
        <w:rPr>
          <w:rFonts w:ascii="宋体" w:hAnsi="宋体"/>
          <w:szCs w:val="28"/>
        </w:rPr>
        <w:t>5年一次。</w:t>
      </w:r>
    </w:p>
    <w:p w14:paraId="050593FE">
      <w:pPr>
        <w:pStyle w:val="3"/>
        <w:spacing w:before="156" w:after="156"/>
      </w:pPr>
      <w:bookmarkStart w:id="44" w:name="_Toc30329"/>
      <w:bookmarkStart w:id="45" w:name="_Toc200377213"/>
      <w:r>
        <w:rPr>
          <w:rFonts w:hint="eastAsia"/>
        </w:rPr>
        <w:t>特殊检测</w:t>
      </w:r>
      <w:bookmarkEnd w:id="44"/>
      <w:bookmarkEnd w:id="45"/>
    </w:p>
    <w:p w14:paraId="6921AFB5">
      <w:pPr>
        <w:pStyle w:val="4"/>
        <w:rPr>
          <w:b/>
          <w:bCs w:val="0"/>
        </w:rPr>
      </w:pPr>
      <w:r>
        <w:rPr>
          <w:rFonts w:hint="eastAsia"/>
          <w:b/>
          <w:bCs w:val="0"/>
        </w:rPr>
        <w:t>检查内容</w:t>
      </w:r>
    </w:p>
    <w:p w14:paraId="62F2A2F4">
      <w:pPr>
        <w:pStyle w:val="26"/>
        <w:ind w:left="560" w:firstLine="560"/>
        <w:rPr>
          <w:rFonts w:hAnsi="宋体" w:cstheme="minorBidi"/>
          <w:kern w:val="2"/>
          <w:sz w:val="28"/>
          <w:szCs w:val="28"/>
        </w:rPr>
      </w:pPr>
      <w:r>
        <w:rPr>
          <w:rFonts w:hint="eastAsia" w:hAnsi="宋体" w:cstheme="minorBidi"/>
          <w:kern w:val="2"/>
          <w:sz w:val="28"/>
          <w:szCs w:val="28"/>
        </w:rPr>
        <w:t>特殊检测应包括下列内容</w:t>
      </w:r>
      <w:r>
        <w:rPr>
          <w:rFonts w:hAnsi="宋体" w:cstheme="minorBidi"/>
          <w:kern w:val="2"/>
          <w:sz w:val="28"/>
          <w:szCs w:val="28"/>
        </w:rPr>
        <w:t>:</w:t>
      </w:r>
    </w:p>
    <w:p w14:paraId="09915FB0">
      <w:pPr>
        <w:pStyle w:val="26"/>
        <w:numPr>
          <w:ilvl w:val="0"/>
          <w:numId w:val="6"/>
        </w:numPr>
        <w:ind w:firstLineChars="0"/>
        <w:rPr>
          <w:rFonts w:hAnsi="宋体" w:cstheme="minorBidi"/>
          <w:kern w:val="2"/>
          <w:sz w:val="28"/>
          <w:szCs w:val="28"/>
        </w:rPr>
      </w:pPr>
      <w:r>
        <w:rPr>
          <w:rFonts w:hint="eastAsia" w:hAnsi="宋体" w:cstheme="minorBidi"/>
          <w:kern w:val="2"/>
          <w:sz w:val="28"/>
          <w:szCs w:val="28"/>
        </w:rPr>
        <w:t>收集道路的设计和竣工资料；</w:t>
      </w:r>
      <w:r>
        <w:rPr>
          <w:rFonts w:hAnsi="宋体" w:cstheme="minorBidi"/>
          <w:kern w:val="2"/>
          <w:sz w:val="28"/>
          <w:szCs w:val="28"/>
        </w:rPr>
        <w:t>历年养护、检测评价资料</w:t>
      </w:r>
      <w:r>
        <w:rPr>
          <w:rFonts w:hint="eastAsia" w:hAnsi="宋体" w:cstheme="minorBidi"/>
          <w:kern w:val="2"/>
          <w:sz w:val="28"/>
          <w:szCs w:val="28"/>
        </w:rPr>
        <w:t>；</w:t>
      </w:r>
      <w:r>
        <w:rPr>
          <w:rFonts w:hAnsi="宋体" w:cstheme="minorBidi"/>
          <w:kern w:val="2"/>
          <w:sz w:val="28"/>
          <w:szCs w:val="28"/>
        </w:rPr>
        <w:t>材料和特殊工艺技术、交通量统计等</w:t>
      </w:r>
      <w:r>
        <w:rPr>
          <w:rFonts w:hint="eastAsia" w:hAnsi="宋体" w:cstheme="minorBidi"/>
          <w:kern w:val="2"/>
          <w:sz w:val="28"/>
          <w:szCs w:val="28"/>
        </w:rPr>
        <w:t>资料；</w:t>
      </w:r>
    </w:p>
    <w:p w14:paraId="09CA4C99">
      <w:pPr>
        <w:pStyle w:val="26"/>
        <w:numPr>
          <w:ilvl w:val="0"/>
          <w:numId w:val="6"/>
        </w:numPr>
        <w:ind w:firstLineChars="0"/>
        <w:rPr>
          <w:rFonts w:hAnsi="宋体" w:cstheme="minorBidi"/>
          <w:kern w:val="2"/>
          <w:sz w:val="28"/>
          <w:szCs w:val="28"/>
        </w:rPr>
      </w:pPr>
      <w:r>
        <w:rPr>
          <w:rFonts w:hint="eastAsia" w:hAnsi="宋体" w:cstheme="minorBidi"/>
          <w:kern w:val="2"/>
          <w:sz w:val="28"/>
          <w:szCs w:val="28"/>
        </w:rPr>
        <w:t>检测道路结构强度，必要时进行钻芯取样分析；</w:t>
      </w:r>
    </w:p>
    <w:p w14:paraId="0FA503B0">
      <w:pPr>
        <w:pStyle w:val="26"/>
        <w:numPr>
          <w:ilvl w:val="0"/>
          <w:numId w:val="6"/>
        </w:numPr>
        <w:ind w:firstLineChars="0"/>
        <w:rPr>
          <w:rFonts w:hAnsi="宋体" w:cstheme="minorBidi"/>
          <w:kern w:val="2"/>
          <w:sz w:val="28"/>
          <w:szCs w:val="28"/>
        </w:rPr>
      </w:pPr>
      <w:r>
        <w:rPr>
          <w:rFonts w:hint="eastAsia" w:hAnsi="宋体" w:cstheme="minorBidi"/>
          <w:kern w:val="2"/>
          <w:sz w:val="28"/>
          <w:szCs w:val="28"/>
        </w:rPr>
        <w:t>城市道路与管线地下病害的检测；</w:t>
      </w:r>
    </w:p>
    <w:p w14:paraId="017FA5E2">
      <w:pPr>
        <w:pStyle w:val="26"/>
        <w:numPr>
          <w:ilvl w:val="0"/>
          <w:numId w:val="6"/>
        </w:numPr>
        <w:ind w:firstLineChars="0"/>
        <w:rPr>
          <w:rFonts w:hAnsi="宋体" w:cstheme="minorBidi"/>
          <w:kern w:val="2"/>
          <w:sz w:val="28"/>
          <w:szCs w:val="28"/>
        </w:rPr>
      </w:pPr>
      <w:r>
        <w:rPr>
          <w:rFonts w:hint="eastAsia" w:hAnsi="宋体" w:cstheme="minorBidi"/>
          <w:kern w:val="2"/>
          <w:sz w:val="28"/>
          <w:szCs w:val="28"/>
        </w:rPr>
        <w:t>对道路结构整体性能、功能状况进行评价；</w:t>
      </w:r>
    </w:p>
    <w:p w14:paraId="10957B81">
      <w:pPr>
        <w:pStyle w:val="26"/>
        <w:numPr>
          <w:ilvl w:val="0"/>
          <w:numId w:val="6"/>
        </w:numPr>
        <w:ind w:firstLineChars="0"/>
        <w:rPr>
          <w:rFonts w:hAnsi="宋体" w:cstheme="minorBidi"/>
          <w:kern w:val="2"/>
          <w:sz w:val="28"/>
          <w:szCs w:val="28"/>
        </w:rPr>
      </w:pPr>
      <w:r>
        <w:rPr>
          <w:rFonts w:hint="eastAsia" w:hAnsi="宋体" w:cstheme="minorBidi"/>
          <w:kern w:val="2"/>
          <w:sz w:val="28"/>
          <w:szCs w:val="28"/>
        </w:rPr>
        <w:t>深入调查道路损坏产生的原因，提出养护或加固建议。</w:t>
      </w:r>
    </w:p>
    <w:p w14:paraId="73253C5C">
      <w:pPr>
        <w:pStyle w:val="4"/>
        <w:rPr>
          <w:b/>
          <w:bCs w:val="0"/>
        </w:rPr>
      </w:pPr>
      <w:r>
        <w:rPr>
          <w:rFonts w:hint="eastAsia"/>
          <w:b/>
          <w:bCs w:val="0"/>
        </w:rPr>
        <w:t>检查频率</w:t>
      </w:r>
    </w:p>
    <w:p w14:paraId="1D26E9F6">
      <w:pPr>
        <w:pStyle w:val="26"/>
        <w:ind w:left="560" w:firstLine="560"/>
        <w:rPr>
          <w:rFonts w:hAnsi="宋体" w:cstheme="minorBidi"/>
          <w:kern w:val="2"/>
          <w:sz w:val="28"/>
          <w:szCs w:val="28"/>
        </w:rPr>
      </w:pPr>
      <w:r>
        <w:rPr>
          <w:rFonts w:hint="eastAsia" w:hAnsi="宋体" w:cstheme="minorBidi"/>
          <w:kern w:val="2"/>
          <w:sz w:val="28"/>
          <w:szCs w:val="28"/>
        </w:rPr>
        <w:t>当出现下列情况之一时，应进行特殊检测</w:t>
      </w:r>
      <w:r>
        <w:rPr>
          <w:rFonts w:hAnsi="宋体" w:cstheme="minorBidi"/>
          <w:kern w:val="2"/>
          <w:sz w:val="28"/>
          <w:szCs w:val="28"/>
        </w:rPr>
        <w:t>:</w:t>
      </w:r>
    </w:p>
    <w:p w14:paraId="5CB1442E">
      <w:pPr>
        <w:pStyle w:val="26"/>
        <w:numPr>
          <w:ilvl w:val="0"/>
          <w:numId w:val="7"/>
        </w:numPr>
        <w:ind w:firstLineChars="0"/>
        <w:rPr>
          <w:rFonts w:hAnsi="宋体" w:cstheme="minorBidi"/>
          <w:kern w:val="2"/>
          <w:sz w:val="28"/>
          <w:szCs w:val="28"/>
        </w:rPr>
      </w:pPr>
      <w:r>
        <w:rPr>
          <w:rFonts w:hint="eastAsia" w:hAnsi="宋体" w:cstheme="minorBidi"/>
          <w:kern w:val="2"/>
          <w:sz w:val="28"/>
          <w:szCs w:val="28"/>
        </w:rPr>
        <w:t>道路进行大修、改扩建前；</w:t>
      </w:r>
    </w:p>
    <w:p w14:paraId="6C2FBCB0">
      <w:pPr>
        <w:pStyle w:val="26"/>
        <w:numPr>
          <w:ilvl w:val="0"/>
          <w:numId w:val="7"/>
        </w:numPr>
        <w:ind w:firstLineChars="0"/>
        <w:rPr>
          <w:rFonts w:hAnsi="宋体" w:cstheme="minorBidi"/>
          <w:kern w:val="2"/>
          <w:sz w:val="28"/>
          <w:szCs w:val="28"/>
        </w:rPr>
      </w:pPr>
      <w:r>
        <w:rPr>
          <w:rFonts w:hint="eastAsia" w:hAnsi="宋体" w:cstheme="minorBidi"/>
          <w:kern w:val="2"/>
          <w:sz w:val="28"/>
          <w:szCs w:val="28"/>
        </w:rPr>
        <w:t>道路发生不明原因的沉陷、开裂或冒水；</w:t>
      </w:r>
    </w:p>
    <w:p w14:paraId="780580A8">
      <w:pPr>
        <w:pStyle w:val="26"/>
        <w:numPr>
          <w:ilvl w:val="0"/>
          <w:numId w:val="7"/>
        </w:numPr>
        <w:ind w:firstLineChars="0"/>
        <w:rPr>
          <w:rFonts w:hAnsi="宋体" w:cstheme="minorBidi"/>
          <w:kern w:val="2"/>
          <w:sz w:val="28"/>
          <w:szCs w:val="28"/>
        </w:rPr>
      </w:pPr>
      <w:r>
        <w:rPr>
          <w:rFonts w:hint="eastAsia" w:hAnsi="宋体" w:cstheme="minorBidi"/>
          <w:kern w:val="2"/>
          <w:sz w:val="28"/>
          <w:szCs w:val="28"/>
        </w:rPr>
        <w:t>在道路下进行管涵顶进、降水作业或隧道开挖等存在影响道路使用功能和结构安全的工程施工完成后；</w:t>
      </w:r>
    </w:p>
    <w:p w14:paraId="57A14C18">
      <w:pPr>
        <w:pStyle w:val="26"/>
        <w:numPr>
          <w:ilvl w:val="0"/>
          <w:numId w:val="7"/>
        </w:numPr>
        <w:ind w:firstLineChars="0"/>
        <w:rPr>
          <w:rFonts w:hAnsi="宋体" w:cstheme="minorBidi"/>
          <w:kern w:val="2"/>
          <w:sz w:val="28"/>
          <w:szCs w:val="28"/>
        </w:rPr>
      </w:pPr>
      <w:r>
        <w:rPr>
          <w:rFonts w:hint="eastAsia" w:hAnsi="宋体" w:cstheme="minorBidi"/>
          <w:kern w:val="2"/>
          <w:sz w:val="28"/>
          <w:szCs w:val="28"/>
        </w:rPr>
        <w:t>道路路面及附属设施超过设计使用年限；</w:t>
      </w:r>
    </w:p>
    <w:p w14:paraId="748EFCAC">
      <w:pPr>
        <w:pStyle w:val="26"/>
        <w:numPr>
          <w:ilvl w:val="0"/>
          <w:numId w:val="7"/>
        </w:numPr>
        <w:ind w:firstLineChars="0"/>
        <w:rPr>
          <w:rFonts w:hAnsi="宋体" w:cstheme="minorBidi"/>
          <w:kern w:val="2"/>
          <w:sz w:val="28"/>
          <w:szCs w:val="28"/>
        </w:rPr>
      </w:pPr>
      <w:r>
        <w:rPr>
          <w:rFonts w:hint="eastAsia" w:hAnsi="宋体" w:cstheme="minorBidi"/>
          <w:kern w:val="2"/>
          <w:sz w:val="28"/>
          <w:szCs w:val="28"/>
        </w:rPr>
        <w:t>存在影响道路使用功能和结构安全的施工。</w:t>
      </w:r>
    </w:p>
    <w:p w14:paraId="338684A0">
      <w:pPr>
        <w:pStyle w:val="2"/>
        <w:spacing w:before="156" w:after="156"/>
      </w:pPr>
      <w:bookmarkStart w:id="46" w:name="_Toc200377214"/>
      <w:r>
        <w:rPr>
          <w:rFonts w:hint="eastAsia"/>
        </w:rPr>
        <w:t>沥青路面养护</w:t>
      </w:r>
      <w:bookmarkEnd w:id="46"/>
    </w:p>
    <w:p w14:paraId="0B37B7FF">
      <w:pPr>
        <w:pStyle w:val="3"/>
        <w:spacing w:before="156" w:after="156"/>
      </w:pPr>
      <w:bookmarkStart w:id="47" w:name="_Toc200377215"/>
      <w:r>
        <w:rPr>
          <w:rFonts w:hint="eastAsia"/>
        </w:rPr>
        <w:t>常见病害</w:t>
      </w:r>
      <w:bookmarkEnd w:id="47"/>
    </w:p>
    <w:p w14:paraId="334CFB75">
      <w:pPr>
        <w:ind w:firstLine="560" w:firstLineChars="200"/>
      </w:pPr>
      <w:r>
        <w:rPr>
          <w:rFonts w:hint="eastAsia"/>
        </w:rPr>
        <w:t>沥青路面常见病害见表2。</w:t>
      </w:r>
    </w:p>
    <w:p w14:paraId="3400061D">
      <w:pPr>
        <w:spacing w:before="156" w:beforeLines="50" w:after="156" w:afterLines="50"/>
        <w:jc w:val="center"/>
        <w:rPr>
          <w:rFonts w:ascii="黑体" w:hAnsi="黑体" w:eastAsia="黑体"/>
          <w:sz w:val="24"/>
          <w:szCs w:val="24"/>
        </w:rPr>
      </w:pPr>
      <w:r>
        <w:rPr>
          <w:rFonts w:hint="eastAsia" w:ascii="黑体" w:hAnsi="黑体" w:eastAsia="黑体"/>
          <w:sz w:val="24"/>
          <w:szCs w:val="24"/>
        </w:rPr>
        <w:t>表2 沥青路面常见病害类型</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878"/>
        <w:gridCol w:w="3428"/>
        <w:gridCol w:w="3642"/>
      </w:tblGrid>
      <w:tr w14:paraId="33DC1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pct"/>
            <w:gridSpan w:val="2"/>
          </w:tcPr>
          <w:p w14:paraId="46BC6004">
            <w:pPr>
              <w:jc w:val="center"/>
              <w:rPr>
                <w:rFonts w:ascii="宋体" w:hAnsi="宋体"/>
                <w:sz w:val="24"/>
                <w:szCs w:val="24"/>
              </w:rPr>
            </w:pPr>
            <w:r>
              <w:rPr>
                <w:rFonts w:hint="eastAsia" w:ascii="宋体" w:hAnsi="宋体"/>
                <w:sz w:val="24"/>
                <w:szCs w:val="24"/>
              </w:rPr>
              <w:t>病害类型</w:t>
            </w:r>
          </w:p>
        </w:tc>
        <w:tc>
          <w:tcPr>
            <w:tcW w:w="2011" w:type="pct"/>
          </w:tcPr>
          <w:p w14:paraId="2A736225">
            <w:pPr>
              <w:rPr>
                <w:rFonts w:ascii="宋体" w:hAnsi="宋体"/>
                <w:sz w:val="24"/>
                <w:szCs w:val="24"/>
              </w:rPr>
            </w:pPr>
            <w:r>
              <w:rPr>
                <w:rFonts w:hint="eastAsia" w:ascii="宋体" w:hAnsi="宋体"/>
                <w:sz w:val="24"/>
                <w:szCs w:val="24"/>
              </w:rPr>
              <w:t>病害形状</w:t>
            </w:r>
          </w:p>
        </w:tc>
        <w:tc>
          <w:tcPr>
            <w:tcW w:w="2137" w:type="pct"/>
          </w:tcPr>
          <w:p w14:paraId="5DDA1E29">
            <w:pPr>
              <w:rPr>
                <w:rFonts w:ascii="宋体" w:hAnsi="宋体"/>
                <w:sz w:val="24"/>
                <w:szCs w:val="24"/>
              </w:rPr>
            </w:pPr>
            <w:r>
              <w:rPr>
                <w:rFonts w:hint="eastAsia" w:ascii="宋体" w:hAnsi="宋体"/>
                <w:sz w:val="24"/>
                <w:szCs w:val="24"/>
              </w:rPr>
              <w:t>图例</w:t>
            </w:r>
          </w:p>
        </w:tc>
      </w:tr>
      <w:tr w14:paraId="410CC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restart"/>
            <w:vAlign w:val="center"/>
          </w:tcPr>
          <w:p w14:paraId="5B29DC33">
            <w:pPr>
              <w:rPr>
                <w:rFonts w:ascii="宋体" w:hAnsi="宋体"/>
                <w:sz w:val="24"/>
                <w:szCs w:val="24"/>
              </w:rPr>
            </w:pPr>
            <w:r>
              <w:rPr>
                <w:rFonts w:ascii="宋体" w:hAnsi="宋体" w:cs="Helvetica"/>
                <w:color w:val="060607"/>
                <w:spacing w:val="4"/>
                <w:sz w:val="24"/>
                <w:szCs w:val="24"/>
              </w:rPr>
              <w:t>裂缝类</w:t>
            </w:r>
          </w:p>
        </w:tc>
        <w:tc>
          <w:tcPr>
            <w:tcW w:w="515" w:type="pct"/>
            <w:vAlign w:val="center"/>
          </w:tcPr>
          <w:p w14:paraId="03A7294E">
            <w:pPr>
              <w:rPr>
                <w:rFonts w:ascii="宋体" w:hAnsi="宋体"/>
                <w:sz w:val="24"/>
                <w:szCs w:val="24"/>
              </w:rPr>
            </w:pPr>
            <w:r>
              <w:rPr>
                <w:rFonts w:ascii="宋体" w:hAnsi="宋体" w:cs="Helvetica"/>
                <w:color w:val="060607"/>
                <w:spacing w:val="4"/>
                <w:sz w:val="24"/>
                <w:szCs w:val="24"/>
              </w:rPr>
              <w:t>线裂</w:t>
            </w:r>
          </w:p>
        </w:tc>
        <w:tc>
          <w:tcPr>
            <w:tcW w:w="2011" w:type="pct"/>
            <w:vAlign w:val="center"/>
          </w:tcPr>
          <w:p w14:paraId="0CADAD0C">
            <w:pPr>
              <w:rPr>
                <w:rFonts w:ascii="宋体" w:hAnsi="宋体"/>
                <w:sz w:val="24"/>
                <w:szCs w:val="24"/>
              </w:rPr>
            </w:pPr>
            <w:r>
              <w:rPr>
                <w:rFonts w:ascii="宋体" w:hAnsi="宋体" w:cs="Helvetica"/>
                <w:color w:val="060607"/>
                <w:spacing w:val="4"/>
                <w:sz w:val="24"/>
                <w:szCs w:val="24"/>
              </w:rPr>
              <w:t>单根/条裂缝，包括横缝、纵缝以及斜缝等</w:t>
            </w:r>
          </w:p>
        </w:tc>
        <w:tc>
          <w:tcPr>
            <w:tcW w:w="2137" w:type="pct"/>
          </w:tcPr>
          <w:p w14:paraId="4BFE5221">
            <w:pPr>
              <w:rPr>
                <w:rFonts w:ascii="宋体" w:hAnsi="宋体"/>
                <w:sz w:val="24"/>
                <w:szCs w:val="24"/>
              </w:rPr>
            </w:pPr>
            <w:r>
              <w:drawing>
                <wp:inline distT="0" distB="0" distL="0" distR="0">
                  <wp:extent cx="2011680" cy="1425575"/>
                  <wp:effectExtent l="0" t="0" r="762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7">
                            <a:extLst>
                              <a:ext uri="{28A0092B-C50C-407E-A947-70E740481C1C}">
                                <a14:useLocalDpi xmlns:a14="http://schemas.microsoft.com/office/drawing/2010/main" val="0"/>
                              </a:ext>
                            </a:extLst>
                          </a:blip>
                          <a:srcRect l="23430" t="23728" r="15276"/>
                          <a:stretch>
                            <a:fillRect/>
                          </a:stretch>
                        </pic:blipFill>
                        <pic:spPr>
                          <a:xfrm>
                            <a:off x="0" y="0"/>
                            <a:ext cx="2022388" cy="1433433"/>
                          </a:xfrm>
                          <a:prstGeom prst="rect">
                            <a:avLst/>
                          </a:prstGeom>
                          <a:noFill/>
                          <a:ln>
                            <a:noFill/>
                          </a:ln>
                        </pic:spPr>
                      </pic:pic>
                    </a:graphicData>
                  </a:graphic>
                </wp:inline>
              </w:drawing>
            </w:r>
          </w:p>
        </w:tc>
      </w:tr>
      <w:tr w14:paraId="04EF3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continue"/>
            <w:vAlign w:val="center"/>
          </w:tcPr>
          <w:p w14:paraId="0F23F33D">
            <w:pPr>
              <w:rPr>
                <w:rFonts w:ascii="宋体" w:hAnsi="宋体"/>
                <w:sz w:val="24"/>
                <w:szCs w:val="24"/>
              </w:rPr>
            </w:pPr>
          </w:p>
        </w:tc>
        <w:tc>
          <w:tcPr>
            <w:tcW w:w="515" w:type="pct"/>
            <w:vAlign w:val="center"/>
          </w:tcPr>
          <w:p w14:paraId="310A78FE">
            <w:pPr>
              <w:rPr>
                <w:rFonts w:ascii="宋体" w:hAnsi="宋体"/>
                <w:sz w:val="24"/>
                <w:szCs w:val="24"/>
              </w:rPr>
            </w:pPr>
            <w:r>
              <w:rPr>
                <w:rFonts w:ascii="宋体" w:hAnsi="宋体" w:cs="Helvetica"/>
                <w:color w:val="060607"/>
                <w:spacing w:val="4"/>
                <w:sz w:val="24"/>
                <w:szCs w:val="24"/>
              </w:rPr>
              <w:t>网裂</w:t>
            </w:r>
          </w:p>
        </w:tc>
        <w:tc>
          <w:tcPr>
            <w:tcW w:w="2011" w:type="pct"/>
            <w:vAlign w:val="center"/>
          </w:tcPr>
          <w:p w14:paraId="37BED622">
            <w:pPr>
              <w:rPr>
                <w:rFonts w:ascii="宋体" w:hAnsi="宋体"/>
                <w:sz w:val="24"/>
                <w:szCs w:val="24"/>
              </w:rPr>
            </w:pPr>
            <w:r>
              <w:rPr>
                <w:rFonts w:ascii="宋体" w:hAnsi="宋体" w:cs="Helvetica"/>
                <w:color w:val="060607"/>
                <w:spacing w:val="4"/>
                <w:sz w:val="24"/>
                <w:szCs w:val="24"/>
              </w:rPr>
              <w:t>交错裂缝，把路面分割成近似矩形的块，网块直径小于3m</w:t>
            </w:r>
          </w:p>
        </w:tc>
        <w:tc>
          <w:tcPr>
            <w:tcW w:w="2137" w:type="pct"/>
          </w:tcPr>
          <w:p w14:paraId="5178E734">
            <w:pPr>
              <w:rPr>
                <w:rFonts w:ascii="宋体" w:hAnsi="宋体"/>
                <w:sz w:val="24"/>
                <w:szCs w:val="24"/>
              </w:rPr>
            </w:pPr>
            <w:r>
              <w:rPr>
                <w:position w:val="-40"/>
              </w:rPr>
              <w:drawing>
                <wp:inline distT="0" distB="0" distL="0" distR="0">
                  <wp:extent cx="2051050" cy="1520190"/>
                  <wp:effectExtent l="0" t="0" r="6350" b="381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8">
                            <a:extLst>
                              <a:ext uri="{28A0092B-C50C-407E-A947-70E740481C1C}">
                                <a14:useLocalDpi xmlns:a14="http://schemas.microsoft.com/office/drawing/2010/main" val="0"/>
                              </a:ext>
                            </a:extLst>
                          </a:blip>
                          <a:stretch>
                            <a:fillRect/>
                          </a:stretch>
                        </pic:blipFill>
                        <pic:spPr>
                          <a:xfrm>
                            <a:off x="0" y="0"/>
                            <a:ext cx="2063857" cy="1529478"/>
                          </a:xfrm>
                          <a:prstGeom prst="rect">
                            <a:avLst/>
                          </a:prstGeom>
                        </pic:spPr>
                      </pic:pic>
                    </a:graphicData>
                  </a:graphic>
                </wp:inline>
              </w:drawing>
            </w:r>
          </w:p>
        </w:tc>
      </w:tr>
      <w:tr w14:paraId="0E927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continue"/>
            <w:vAlign w:val="center"/>
          </w:tcPr>
          <w:p w14:paraId="6614288E">
            <w:pPr>
              <w:rPr>
                <w:rFonts w:ascii="宋体" w:hAnsi="宋体"/>
                <w:sz w:val="24"/>
                <w:szCs w:val="24"/>
              </w:rPr>
            </w:pPr>
          </w:p>
        </w:tc>
        <w:tc>
          <w:tcPr>
            <w:tcW w:w="515" w:type="pct"/>
            <w:vAlign w:val="center"/>
          </w:tcPr>
          <w:p w14:paraId="6355577D">
            <w:pPr>
              <w:rPr>
                <w:rFonts w:ascii="宋体" w:hAnsi="宋体"/>
                <w:sz w:val="24"/>
                <w:szCs w:val="24"/>
              </w:rPr>
            </w:pPr>
            <w:r>
              <w:rPr>
                <w:rFonts w:ascii="宋体" w:hAnsi="宋体" w:cs="Helvetica"/>
                <w:color w:val="060607"/>
                <w:spacing w:val="4"/>
                <w:sz w:val="24"/>
                <w:szCs w:val="24"/>
              </w:rPr>
              <w:t>龟裂</w:t>
            </w:r>
          </w:p>
        </w:tc>
        <w:tc>
          <w:tcPr>
            <w:tcW w:w="2011" w:type="pct"/>
            <w:vAlign w:val="center"/>
          </w:tcPr>
          <w:p w14:paraId="00FC16F1">
            <w:pPr>
              <w:rPr>
                <w:rFonts w:ascii="宋体" w:hAnsi="宋体"/>
                <w:sz w:val="24"/>
                <w:szCs w:val="24"/>
              </w:rPr>
            </w:pPr>
            <w:r>
              <w:rPr>
                <w:rFonts w:ascii="宋体" w:hAnsi="宋体" w:cs="Helvetica"/>
                <w:color w:val="060607"/>
                <w:spacing w:val="4"/>
                <w:sz w:val="24"/>
                <w:szCs w:val="24"/>
              </w:rPr>
              <w:t>裂缝成片出现，缝间路面已裂成碎块，碎块直径小于0.5m。包括井边碎裂</w:t>
            </w:r>
          </w:p>
        </w:tc>
        <w:tc>
          <w:tcPr>
            <w:tcW w:w="2137" w:type="pct"/>
          </w:tcPr>
          <w:p w14:paraId="65794EE2">
            <w:pPr>
              <w:rPr>
                <w:rFonts w:ascii="宋体" w:hAnsi="宋体"/>
                <w:sz w:val="24"/>
                <w:szCs w:val="24"/>
              </w:rPr>
            </w:pPr>
            <w:r>
              <w:drawing>
                <wp:inline distT="0" distB="0" distL="0" distR="0">
                  <wp:extent cx="1892300" cy="1372235"/>
                  <wp:effectExtent l="0" t="0" r="0" b="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914497" cy="1388570"/>
                          </a:xfrm>
                          <a:prstGeom prst="rect">
                            <a:avLst/>
                          </a:prstGeom>
                          <a:noFill/>
                          <a:ln w="9525">
                            <a:noFill/>
                          </a:ln>
                        </pic:spPr>
                      </pic:pic>
                    </a:graphicData>
                  </a:graphic>
                </wp:inline>
              </w:drawing>
            </w:r>
          </w:p>
        </w:tc>
      </w:tr>
      <w:tr w14:paraId="00958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continue"/>
            <w:vAlign w:val="center"/>
          </w:tcPr>
          <w:p w14:paraId="19488845">
            <w:pPr>
              <w:rPr>
                <w:rFonts w:ascii="宋体" w:hAnsi="宋体"/>
                <w:sz w:val="24"/>
                <w:szCs w:val="24"/>
              </w:rPr>
            </w:pPr>
          </w:p>
        </w:tc>
        <w:tc>
          <w:tcPr>
            <w:tcW w:w="515" w:type="pct"/>
            <w:vAlign w:val="center"/>
          </w:tcPr>
          <w:p w14:paraId="247B16F8">
            <w:pPr>
              <w:rPr>
                <w:rFonts w:ascii="宋体" w:hAnsi="宋体" w:cs="Helvetica"/>
                <w:color w:val="060607"/>
                <w:spacing w:val="4"/>
                <w:sz w:val="24"/>
                <w:szCs w:val="24"/>
              </w:rPr>
            </w:pPr>
            <w:r>
              <w:rPr>
                <w:rFonts w:hint="eastAsia" w:ascii="宋体" w:hAnsi="宋体" w:cs="Helvetica"/>
                <w:color w:val="060607"/>
                <w:spacing w:val="4"/>
                <w:sz w:val="24"/>
                <w:szCs w:val="24"/>
              </w:rPr>
              <w:t>反射裂缝</w:t>
            </w:r>
          </w:p>
        </w:tc>
        <w:tc>
          <w:tcPr>
            <w:tcW w:w="2011" w:type="pct"/>
            <w:vAlign w:val="center"/>
          </w:tcPr>
          <w:p w14:paraId="72508572">
            <w:pPr>
              <w:rPr>
                <w:rFonts w:ascii="宋体" w:hAnsi="宋体" w:cs="Helvetica"/>
                <w:color w:val="060607"/>
                <w:spacing w:val="4"/>
                <w:sz w:val="24"/>
                <w:szCs w:val="24"/>
              </w:rPr>
            </w:pPr>
            <w:r>
              <w:rPr>
                <w:rFonts w:ascii="宋体" w:hAnsi="宋体" w:cs="Helvetica"/>
                <w:color w:val="060607"/>
                <w:spacing w:val="4"/>
                <w:sz w:val="24"/>
                <w:szCs w:val="24"/>
              </w:rPr>
              <w:t>沥青罩面层</w:t>
            </w:r>
            <w:r>
              <w:rPr>
                <w:rFonts w:hint="eastAsia" w:ascii="宋体" w:hAnsi="宋体" w:cs="Helvetica"/>
                <w:color w:val="060607"/>
                <w:spacing w:val="4"/>
                <w:sz w:val="24"/>
                <w:szCs w:val="24"/>
              </w:rPr>
              <w:t>在下层应力作用下产生的开裂。</w:t>
            </w:r>
          </w:p>
        </w:tc>
        <w:tc>
          <w:tcPr>
            <w:tcW w:w="2137" w:type="pct"/>
          </w:tcPr>
          <w:p w14:paraId="34C1D677">
            <w:r>
              <w:drawing>
                <wp:inline distT="0" distB="0" distL="0" distR="0">
                  <wp:extent cx="1852295" cy="18161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
                          <a:srcRect l="26166" t="14066" r="8793"/>
                          <a:stretch>
                            <a:fillRect/>
                          </a:stretch>
                        </pic:blipFill>
                        <pic:spPr>
                          <a:xfrm>
                            <a:off x="0" y="0"/>
                            <a:ext cx="1875051" cy="1838518"/>
                          </a:xfrm>
                          <a:prstGeom prst="rect">
                            <a:avLst/>
                          </a:prstGeom>
                          <a:ln>
                            <a:noFill/>
                          </a:ln>
                        </pic:spPr>
                      </pic:pic>
                    </a:graphicData>
                  </a:graphic>
                </wp:inline>
              </w:drawing>
            </w:r>
          </w:p>
        </w:tc>
      </w:tr>
      <w:tr w14:paraId="25A6C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restart"/>
            <w:vAlign w:val="center"/>
          </w:tcPr>
          <w:p w14:paraId="0CBF0A74">
            <w:pPr>
              <w:rPr>
                <w:rFonts w:ascii="宋体" w:hAnsi="宋体"/>
                <w:sz w:val="24"/>
                <w:szCs w:val="24"/>
              </w:rPr>
            </w:pPr>
            <w:r>
              <w:rPr>
                <w:rFonts w:ascii="宋体" w:hAnsi="宋体" w:cs="Helvetica"/>
                <w:color w:val="060607"/>
                <w:spacing w:val="4"/>
                <w:sz w:val="24"/>
                <w:szCs w:val="24"/>
              </w:rPr>
              <w:t>变形类</w:t>
            </w:r>
          </w:p>
        </w:tc>
        <w:tc>
          <w:tcPr>
            <w:tcW w:w="515" w:type="pct"/>
            <w:vAlign w:val="center"/>
          </w:tcPr>
          <w:p w14:paraId="4A63DDBE">
            <w:pPr>
              <w:rPr>
                <w:rFonts w:ascii="宋体" w:hAnsi="宋体"/>
                <w:sz w:val="24"/>
                <w:szCs w:val="24"/>
              </w:rPr>
            </w:pPr>
            <w:r>
              <w:rPr>
                <w:rFonts w:ascii="宋体" w:hAnsi="宋体" w:cs="Helvetica"/>
                <w:color w:val="060607"/>
                <w:spacing w:val="4"/>
                <w:sz w:val="24"/>
                <w:szCs w:val="24"/>
              </w:rPr>
              <w:t>拥包</w:t>
            </w:r>
          </w:p>
        </w:tc>
        <w:tc>
          <w:tcPr>
            <w:tcW w:w="2011" w:type="pct"/>
            <w:vAlign w:val="center"/>
          </w:tcPr>
          <w:p w14:paraId="75D871D3">
            <w:pPr>
              <w:rPr>
                <w:rFonts w:ascii="宋体" w:hAnsi="宋体"/>
                <w:sz w:val="24"/>
                <w:szCs w:val="24"/>
              </w:rPr>
            </w:pPr>
            <w:r>
              <w:rPr>
                <w:rFonts w:ascii="宋体" w:hAnsi="宋体" w:cs="Helvetica"/>
                <w:color w:val="060607"/>
                <w:spacing w:val="4"/>
                <w:sz w:val="24"/>
                <w:szCs w:val="24"/>
              </w:rPr>
              <w:t>路面面层材料在车辆推挤作用下形成的路面局部拱起；表现形式包括：波浪和拥包</w:t>
            </w:r>
          </w:p>
        </w:tc>
        <w:tc>
          <w:tcPr>
            <w:tcW w:w="2137" w:type="pct"/>
          </w:tcPr>
          <w:p w14:paraId="195906EC">
            <w:pPr>
              <w:rPr>
                <w:rFonts w:ascii="宋体" w:hAnsi="宋体"/>
                <w:sz w:val="24"/>
                <w:szCs w:val="24"/>
              </w:rPr>
            </w:pPr>
            <w:r>
              <w:rPr>
                <w:position w:val="-40"/>
              </w:rPr>
              <w:drawing>
                <wp:inline distT="0" distB="0" distL="0" distR="0">
                  <wp:extent cx="1836420" cy="1509395"/>
                  <wp:effectExtent l="0" t="0" r="0" b="0"/>
                  <wp:docPr id="30" name="IM 28"/>
                  <wp:cNvGraphicFramePr/>
                  <a:graphic xmlns:a="http://schemas.openxmlformats.org/drawingml/2006/main">
                    <a:graphicData uri="http://schemas.openxmlformats.org/drawingml/2006/picture">
                      <pic:pic xmlns:pic="http://schemas.openxmlformats.org/drawingml/2006/picture">
                        <pic:nvPicPr>
                          <pic:cNvPr id="30" name="IM 28"/>
                          <pic:cNvPicPr/>
                        </pic:nvPicPr>
                        <pic:blipFill>
                          <a:blip r:embed="rId11">
                            <a:extLst>
                              <a:ext uri="{28A0092B-C50C-407E-A947-70E740481C1C}">
                                <a14:useLocalDpi xmlns:a14="http://schemas.microsoft.com/office/drawing/2010/main" val="0"/>
                              </a:ext>
                            </a:extLst>
                          </a:blip>
                          <a:stretch>
                            <a:fillRect/>
                          </a:stretch>
                        </pic:blipFill>
                        <pic:spPr>
                          <a:xfrm>
                            <a:off x="0" y="0"/>
                            <a:ext cx="1850231" cy="1520554"/>
                          </a:xfrm>
                          <a:prstGeom prst="rect">
                            <a:avLst/>
                          </a:prstGeom>
                        </pic:spPr>
                      </pic:pic>
                    </a:graphicData>
                  </a:graphic>
                </wp:inline>
              </w:drawing>
            </w:r>
          </w:p>
        </w:tc>
      </w:tr>
      <w:tr w14:paraId="2C639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continue"/>
            <w:vAlign w:val="center"/>
          </w:tcPr>
          <w:p w14:paraId="33F5CDC2">
            <w:pPr>
              <w:rPr>
                <w:rFonts w:ascii="宋体" w:hAnsi="宋体"/>
                <w:sz w:val="24"/>
                <w:szCs w:val="24"/>
              </w:rPr>
            </w:pPr>
          </w:p>
        </w:tc>
        <w:tc>
          <w:tcPr>
            <w:tcW w:w="515" w:type="pct"/>
            <w:vAlign w:val="center"/>
          </w:tcPr>
          <w:p w14:paraId="35639ADA">
            <w:pPr>
              <w:rPr>
                <w:rFonts w:ascii="宋体" w:hAnsi="宋体"/>
                <w:sz w:val="24"/>
                <w:szCs w:val="24"/>
              </w:rPr>
            </w:pPr>
            <w:r>
              <w:rPr>
                <w:rFonts w:ascii="宋体" w:hAnsi="宋体" w:cs="Helvetica"/>
                <w:color w:val="060607"/>
                <w:spacing w:val="4"/>
                <w:sz w:val="24"/>
                <w:szCs w:val="24"/>
              </w:rPr>
              <w:t>车辙</w:t>
            </w:r>
          </w:p>
        </w:tc>
        <w:tc>
          <w:tcPr>
            <w:tcW w:w="2011" w:type="pct"/>
            <w:vAlign w:val="center"/>
          </w:tcPr>
          <w:p w14:paraId="41DE2519">
            <w:pPr>
              <w:rPr>
                <w:rFonts w:ascii="宋体" w:hAnsi="宋体"/>
                <w:sz w:val="24"/>
                <w:szCs w:val="24"/>
              </w:rPr>
            </w:pPr>
            <w:r>
              <w:rPr>
                <w:rFonts w:ascii="宋体" w:hAnsi="宋体" w:cs="Helvetica"/>
                <w:color w:val="060607"/>
                <w:spacing w:val="4"/>
                <w:sz w:val="24"/>
                <w:szCs w:val="24"/>
              </w:rPr>
              <w:t>在行车作用下沿车轮带形成的相对于两侧的凹槽</w:t>
            </w:r>
          </w:p>
        </w:tc>
        <w:tc>
          <w:tcPr>
            <w:tcW w:w="2137" w:type="pct"/>
          </w:tcPr>
          <w:p w14:paraId="45889F19">
            <w:pPr>
              <w:rPr>
                <w:rFonts w:ascii="宋体" w:hAnsi="宋体"/>
                <w:sz w:val="24"/>
                <w:szCs w:val="24"/>
              </w:rPr>
            </w:pPr>
            <w:r>
              <w:rPr>
                <w:rFonts w:ascii="宋体" w:hAnsi="宋体"/>
                <w:sz w:val="24"/>
                <w:szCs w:val="24"/>
              </w:rPr>
              <w:drawing>
                <wp:inline distT="0" distB="0" distL="0" distR="0">
                  <wp:extent cx="1876425" cy="913130"/>
                  <wp:effectExtent l="0" t="0" r="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935747" cy="942584"/>
                          </a:xfrm>
                          <a:prstGeom prst="rect">
                            <a:avLst/>
                          </a:prstGeom>
                          <a:noFill/>
                          <a:ln>
                            <a:noFill/>
                          </a:ln>
                        </pic:spPr>
                      </pic:pic>
                    </a:graphicData>
                  </a:graphic>
                </wp:inline>
              </w:drawing>
            </w:r>
          </w:p>
        </w:tc>
      </w:tr>
      <w:tr w14:paraId="165B1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continue"/>
            <w:vAlign w:val="center"/>
          </w:tcPr>
          <w:p w14:paraId="789DB075">
            <w:pPr>
              <w:rPr>
                <w:rFonts w:ascii="宋体" w:hAnsi="宋体"/>
                <w:sz w:val="24"/>
                <w:szCs w:val="24"/>
              </w:rPr>
            </w:pPr>
          </w:p>
        </w:tc>
        <w:tc>
          <w:tcPr>
            <w:tcW w:w="515" w:type="pct"/>
            <w:vAlign w:val="center"/>
          </w:tcPr>
          <w:p w14:paraId="52EDA4D1">
            <w:pPr>
              <w:rPr>
                <w:rFonts w:ascii="宋体" w:hAnsi="宋体"/>
                <w:sz w:val="24"/>
                <w:szCs w:val="24"/>
              </w:rPr>
            </w:pPr>
            <w:r>
              <w:rPr>
                <w:rFonts w:ascii="宋体" w:hAnsi="宋体" w:cs="Helvetica"/>
                <w:color w:val="060607"/>
                <w:spacing w:val="4"/>
                <w:sz w:val="24"/>
                <w:szCs w:val="24"/>
              </w:rPr>
              <w:t>沉陷</w:t>
            </w:r>
          </w:p>
        </w:tc>
        <w:tc>
          <w:tcPr>
            <w:tcW w:w="2011" w:type="pct"/>
            <w:vAlign w:val="center"/>
          </w:tcPr>
          <w:p w14:paraId="7A0FB7CF">
            <w:pPr>
              <w:rPr>
                <w:rFonts w:ascii="宋体" w:hAnsi="宋体"/>
                <w:sz w:val="24"/>
                <w:szCs w:val="24"/>
              </w:rPr>
            </w:pPr>
            <w:r>
              <w:rPr>
                <w:rFonts w:ascii="宋体" w:hAnsi="宋体" w:cs="Helvetica"/>
                <w:color w:val="060607"/>
                <w:spacing w:val="4"/>
                <w:sz w:val="24"/>
                <w:szCs w:val="24"/>
              </w:rPr>
              <w:t>路面局部下沉</w:t>
            </w:r>
          </w:p>
        </w:tc>
        <w:tc>
          <w:tcPr>
            <w:tcW w:w="2137" w:type="pct"/>
          </w:tcPr>
          <w:p w14:paraId="2BD841B4">
            <w:pPr>
              <w:rPr>
                <w:rFonts w:ascii="宋体" w:hAnsi="宋体"/>
                <w:sz w:val="24"/>
                <w:szCs w:val="24"/>
              </w:rPr>
            </w:pPr>
            <w:r>
              <w:rPr>
                <w:position w:val="-45"/>
              </w:rPr>
              <w:drawing>
                <wp:inline distT="0" distB="0" distL="0" distR="0">
                  <wp:extent cx="1899920" cy="1506855"/>
                  <wp:effectExtent l="0" t="0" r="5080" b="0"/>
                  <wp:docPr id="43" name="IM 38"/>
                  <wp:cNvGraphicFramePr/>
                  <a:graphic xmlns:a="http://schemas.openxmlformats.org/drawingml/2006/main">
                    <a:graphicData uri="http://schemas.openxmlformats.org/drawingml/2006/picture">
                      <pic:pic xmlns:pic="http://schemas.openxmlformats.org/drawingml/2006/picture">
                        <pic:nvPicPr>
                          <pic:cNvPr id="43" name="IM 38"/>
                          <pic:cNvPicPr/>
                        </pic:nvPicPr>
                        <pic:blipFill>
                          <a:blip r:embed="rId13">
                            <a:extLst>
                              <a:ext uri="{28A0092B-C50C-407E-A947-70E740481C1C}">
                                <a14:useLocalDpi xmlns:a14="http://schemas.microsoft.com/office/drawing/2010/main" val="0"/>
                              </a:ext>
                            </a:extLst>
                          </a:blip>
                          <a:stretch>
                            <a:fillRect/>
                          </a:stretch>
                        </pic:blipFill>
                        <pic:spPr>
                          <a:xfrm>
                            <a:off x="0" y="0"/>
                            <a:ext cx="1913036" cy="1517122"/>
                          </a:xfrm>
                          <a:prstGeom prst="rect">
                            <a:avLst/>
                          </a:prstGeom>
                        </pic:spPr>
                      </pic:pic>
                    </a:graphicData>
                  </a:graphic>
                </wp:inline>
              </w:drawing>
            </w:r>
          </w:p>
        </w:tc>
      </w:tr>
      <w:tr w14:paraId="60841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continue"/>
            <w:vAlign w:val="center"/>
          </w:tcPr>
          <w:p w14:paraId="7875DE84">
            <w:pPr>
              <w:rPr>
                <w:rFonts w:ascii="宋体" w:hAnsi="宋体"/>
                <w:sz w:val="24"/>
                <w:szCs w:val="24"/>
              </w:rPr>
            </w:pPr>
          </w:p>
        </w:tc>
        <w:tc>
          <w:tcPr>
            <w:tcW w:w="515" w:type="pct"/>
            <w:vAlign w:val="center"/>
          </w:tcPr>
          <w:p w14:paraId="095B15D4">
            <w:pPr>
              <w:rPr>
                <w:rFonts w:ascii="宋体" w:hAnsi="宋体"/>
                <w:sz w:val="24"/>
                <w:szCs w:val="24"/>
              </w:rPr>
            </w:pPr>
            <w:r>
              <w:rPr>
                <w:rFonts w:ascii="宋体" w:hAnsi="宋体" w:cs="Helvetica"/>
                <w:color w:val="060607"/>
                <w:spacing w:val="4"/>
                <w:sz w:val="24"/>
                <w:szCs w:val="24"/>
              </w:rPr>
              <w:t>翻浆</w:t>
            </w:r>
          </w:p>
        </w:tc>
        <w:tc>
          <w:tcPr>
            <w:tcW w:w="2011" w:type="pct"/>
            <w:vAlign w:val="center"/>
          </w:tcPr>
          <w:p w14:paraId="2A176F41">
            <w:pPr>
              <w:rPr>
                <w:rFonts w:ascii="宋体" w:hAnsi="宋体"/>
                <w:sz w:val="24"/>
                <w:szCs w:val="24"/>
              </w:rPr>
            </w:pPr>
            <w:r>
              <w:rPr>
                <w:rFonts w:ascii="宋体" w:hAnsi="宋体" w:cs="Helvetica"/>
                <w:color w:val="060607"/>
                <w:spacing w:val="4"/>
                <w:sz w:val="24"/>
                <w:szCs w:val="24"/>
              </w:rPr>
              <w:t>路面、路基湿软出现弹簧</w:t>
            </w:r>
            <w:r>
              <w:rPr>
                <w:rFonts w:hint="eastAsia" w:ascii="宋体" w:hAnsi="宋体" w:cs="Helvetica"/>
                <w:color w:val="060607"/>
                <w:spacing w:val="4"/>
                <w:sz w:val="24"/>
                <w:szCs w:val="24"/>
              </w:rPr>
              <w:t>状</w:t>
            </w:r>
            <w:r>
              <w:rPr>
                <w:rFonts w:ascii="宋体" w:hAnsi="宋体" w:cs="Helvetica"/>
                <w:color w:val="060607"/>
                <w:spacing w:val="4"/>
                <w:sz w:val="24"/>
                <w:szCs w:val="24"/>
              </w:rPr>
              <w:t>、破裂、冒泥浆现象</w:t>
            </w:r>
          </w:p>
        </w:tc>
        <w:tc>
          <w:tcPr>
            <w:tcW w:w="2137" w:type="pct"/>
          </w:tcPr>
          <w:p w14:paraId="3B3CAB5D">
            <w:pPr>
              <w:rPr>
                <w:rFonts w:ascii="宋体" w:hAnsi="宋体"/>
                <w:sz w:val="24"/>
                <w:szCs w:val="24"/>
              </w:rPr>
            </w:pPr>
            <w:r>
              <w:rPr>
                <w:position w:val="-43"/>
              </w:rPr>
              <w:drawing>
                <wp:inline distT="0" distB="0" distL="0" distR="0">
                  <wp:extent cx="1939925" cy="1602105"/>
                  <wp:effectExtent l="0" t="0" r="3175"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14">
                            <a:extLst>
                              <a:ext uri="{28A0092B-C50C-407E-A947-70E740481C1C}">
                                <a14:useLocalDpi xmlns:a14="http://schemas.microsoft.com/office/drawing/2010/main" val="0"/>
                              </a:ext>
                            </a:extLst>
                          </a:blip>
                          <a:stretch>
                            <a:fillRect/>
                          </a:stretch>
                        </pic:blipFill>
                        <pic:spPr>
                          <a:xfrm>
                            <a:off x="0" y="0"/>
                            <a:ext cx="1952161" cy="1612634"/>
                          </a:xfrm>
                          <a:prstGeom prst="rect">
                            <a:avLst/>
                          </a:prstGeom>
                        </pic:spPr>
                      </pic:pic>
                    </a:graphicData>
                  </a:graphic>
                </wp:inline>
              </w:drawing>
            </w:r>
          </w:p>
        </w:tc>
      </w:tr>
      <w:tr w14:paraId="6A924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restart"/>
            <w:vAlign w:val="center"/>
          </w:tcPr>
          <w:p w14:paraId="1E604941">
            <w:pPr>
              <w:rPr>
                <w:rFonts w:ascii="宋体" w:hAnsi="宋体"/>
                <w:sz w:val="24"/>
                <w:szCs w:val="24"/>
              </w:rPr>
            </w:pPr>
            <w:r>
              <w:rPr>
                <w:rFonts w:ascii="宋体" w:hAnsi="宋体" w:cs="Helvetica"/>
                <w:color w:val="060607"/>
                <w:spacing w:val="4"/>
                <w:sz w:val="24"/>
                <w:szCs w:val="24"/>
              </w:rPr>
              <w:t>松散类</w:t>
            </w:r>
          </w:p>
        </w:tc>
        <w:tc>
          <w:tcPr>
            <w:tcW w:w="515" w:type="pct"/>
            <w:vAlign w:val="center"/>
          </w:tcPr>
          <w:p w14:paraId="54E658BA">
            <w:pPr>
              <w:rPr>
                <w:rFonts w:ascii="宋体" w:hAnsi="宋体"/>
                <w:sz w:val="24"/>
                <w:szCs w:val="24"/>
              </w:rPr>
            </w:pPr>
            <w:r>
              <w:rPr>
                <w:rFonts w:ascii="宋体" w:hAnsi="宋体" w:cs="Helvetica"/>
                <w:color w:val="060607"/>
                <w:spacing w:val="4"/>
                <w:sz w:val="24"/>
                <w:szCs w:val="24"/>
              </w:rPr>
              <w:t>剥落</w:t>
            </w:r>
          </w:p>
        </w:tc>
        <w:tc>
          <w:tcPr>
            <w:tcW w:w="2011" w:type="pct"/>
            <w:vAlign w:val="center"/>
          </w:tcPr>
          <w:p w14:paraId="13EF435F">
            <w:pPr>
              <w:rPr>
                <w:rFonts w:ascii="宋体" w:hAnsi="宋体"/>
                <w:sz w:val="24"/>
                <w:szCs w:val="24"/>
              </w:rPr>
            </w:pPr>
            <w:r>
              <w:rPr>
                <w:rFonts w:ascii="宋体" w:hAnsi="宋体" w:cs="Helvetica"/>
                <w:color w:val="060607"/>
                <w:spacing w:val="4"/>
                <w:sz w:val="24"/>
                <w:szCs w:val="24"/>
              </w:rPr>
              <w:t>麻面、脱皮和松散等面层损失类</w:t>
            </w:r>
          </w:p>
        </w:tc>
        <w:tc>
          <w:tcPr>
            <w:tcW w:w="2137" w:type="pct"/>
          </w:tcPr>
          <w:p w14:paraId="09C93000">
            <w:pPr>
              <w:rPr>
                <w:rFonts w:ascii="宋体" w:hAnsi="宋体"/>
                <w:sz w:val="24"/>
                <w:szCs w:val="24"/>
              </w:rPr>
            </w:pPr>
            <w:r>
              <w:rPr>
                <w:position w:val="-39"/>
              </w:rPr>
              <w:drawing>
                <wp:inline distT="0" distB="0" distL="0" distR="0">
                  <wp:extent cx="1947545" cy="187134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5">
                            <a:extLst>
                              <a:ext uri="{28A0092B-C50C-407E-A947-70E740481C1C}">
                                <a14:useLocalDpi xmlns:a14="http://schemas.microsoft.com/office/drawing/2010/main" val="0"/>
                              </a:ext>
                            </a:extLst>
                          </a:blip>
                          <a:stretch>
                            <a:fillRect/>
                          </a:stretch>
                        </pic:blipFill>
                        <pic:spPr>
                          <a:xfrm>
                            <a:off x="0" y="0"/>
                            <a:ext cx="1960124" cy="1883231"/>
                          </a:xfrm>
                          <a:prstGeom prst="rect">
                            <a:avLst/>
                          </a:prstGeom>
                        </pic:spPr>
                      </pic:pic>
                    </a:graphicData>
                  </a:graphic>
                </wp:inline>
              </w:drawing>
            </w:r>
          </w:p>
        </w:tc>
      </w:tr>
      <w:tr w14:paraId="14290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continue"/>
            <w:vAlign w:val="center"/>
          </w:tcPr>
          <w:p w14:paraId="5C9F8DC4">
            <w:pPr>
              <w:rPr>
                <w:rFonts w:ascii="宋体" w:hAnsi="宋体"/>
                <w:sz w:val="24"/>
                <w:szCs w:val="24"/>
              </w:rPr>
            </w:pPr>
          </w:p>
        </w:tc>
        <w:tc>
          <w:tcPr>
            <w:tcW w:w="515" w:type="pct"/>
            <w:vAlign w:val="center"/>
          </w:tcPr>
          <w:p w14:paraId="21770C0A">
            <w:pPr>
              <w:rPr>
                <w:rFonts w:ascii="宋体" w:hAnsi="宋体"/>
                <w:sz w:val="24"/>
                <w:szCs w:val="24"/>
              </w:rPr>
            </w:pPr>
            <w:r>
              <w:rPr>
                <w:rFonts w:ascii="宋体" w:hAnsi="宋体" w:cs="Helvetica"/>
                <w:color w:val="060607"/>
                <w:spacing w:val="4"/>
                <w:sz w:val="24"/>
                <w:szCs w:val="24"/>
              </w:rPr>
              <w:t>坑槽</w:t>
            </w:r>
          </w:p>
        </w:tc>
        <w:tc>
          <w:tcPr>
            <w:tcW w:w="2011" w:type="pct"/>
            <w:vAlign w:val="center"/>
          </w:tcPr>
          <w:p w14:paraId="4C2C921B">
            <w:pPr>
              <w:rPr>
                <w:rFonts w:ascii="宋体" w:hAnsi="宋体"/>
                <w:sz w:val="24"/>
                <w:szCs w:val="24"/>
              </w:rPr>
            </w:pPr>
            <w:r>
              <w:rPr>
                <w:rFonts w:ascii="宋体" w:hAnsi="宋体" w:cs="Helvetica"/>
                <w:color w:val="060607"/>
                <w:spacing w:val="4"/>
                <w:sz w:val="24"/>
                <w:szCs w:val="24"/>
              </w:rPr>
              <w:t>路面材料散失后形成的凹坑</w:t>
            </w:r>
          </w:p>
        </w:tc>
        <w:tc>
          <w:tcPr>
            <w:tcW w:w="2137" w:type="pct"/>
          </w:tcPr>
          <w:p w14:paraId="14932DAD">
            <w:pPr>
              <w:rPr>
                <w:rFonts w:ascii="宋体" w:hAnsi="宋体"/>
                <w:sz w:val="24"/>
                <w:szCs w:val="24"/>
              </w:rPr>
            </w:pPr>
            <w:r>
              <w:rPr>
                <w:position w:val="-41"/>
              </w:rPr>
              <w:drawing>
                <wp:inline distT="0" distB="0" distL="0" distR="0">
                  <wp:extent cx="2011680" cy="1497965"/>
                  <wp:effectExtent l="0" t="0" r="7620" b="6985"/>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6">
                            <a:extLst>
                              <a:ext uri="{28A0092B-C50C-407E-A947-70E740481C1C}">
                                <a14:useLocalDpi xmlns:a14="http://schemas.microsoft.com/office/drawing/2010/main" val="0"/>
                              </a:ext>
                            </a:extLst>
                          </a:blip>
                          <a:stretch>
                            <a:fillRect/>
                          </a:stretch>
                        </pic:blipFill>
                        <pic:spPr>
                          <a:xfrm>
                            <a:off x="0" y="0"/>
                            <a:ext cx="2026810" cy="1509481"/>
                          </a:xfrm>
                          <a:prstGeom prst="rect">
                            <a:avLst/>
                          </a:prstGeom>
                        </pic:spPr>
                      </pic:pic>
                    </a:graphicData>
                  </a:graphic>
                </wp:inline>
              </w:drawing>
            </w:r>
          </w:p>
        </w:tc>
      </w:tr>
      <w:tr w14:paraId="13E96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continue"/>
            <w:vAlign w:val="center"/>
          </w:tcPr>
          <w:p w14:paraId="6DE50A86">
            <w:pPr>
              <w:rPr>
                <w:rFonts w:ascii="宋体" w:hAnsi="宋体"/>
                <w:sz w:val="24"/>
                <w:szCs w:val="24"/>
              </w:rPr>
            </w:pPr>
          </w:p>
        </w:tc>
        <w:tc>
          <w:tcPr>
            <w:tcW w:w="515" w:type="pct"/>
            <w:vAlign w:val="center"/>
          </w:tcPr>
          <w:p w14:paraId="2BF55948">
            <w:pPr>
              <w:rPr>
                <w:rFonts w:ascii="宋体" w:hAnsi="宋体"/>
                <w:sz w:val="24"/>
                <w:szCs w:val="24"/>
              </w:rPr>
            </w:pPr>
            <w:r>
              <w:rPr>
                <w:rFonts w:ascii="宋体" w:hAnsi="宋体" w:cs="Helvetica"/>
                <w:color w:val="060607"/>
                <w:spacing w:val="4"/>
                <w:sz w:val="24"/>
                <w:szCs w:val="24"/>
              </w:rPr>
              <w:t>啃边</w:t>
            </w:r>
          </w:p>
        </w:tc>
        <w:tc>
          <w:tcPr>
            <w:tcW w:w="2011" w:type="pct"/>
            <w:vAlign w:val="center"/>
          </w:tcPr>
          <w:p w14:paraId="34859211">
            <w:pPr>
              <w:rPr>
                <w:rFonts w:ascii="宋体" w:hAnsi="宋体"/>
                <w:sz w:val="24"/>
                <w:szCs w:val="24"/>
              </w:rPr>
            </w:pPr>
            <w:r>
              <w:rPr>
                <w:rFonts w:ascii="宋体" w:hAnsi="宋体" w:cs="Helvetica"/>
                <w:color w:val="060607"/>
                <w:spacing w:val="4"/>
                <w:sz w:val="24"/>
                <w:szCs w:val="24"/>
              </w:rPr>
              <w:t>由于行车荷载作用致使路面边缘出现损坏</w:t>
            </w:r>
          </w:p>
        </w:tc>
        <w:tc>
          <w:tcPr>
            <w:tcW w:w="2137" w:type="pct"/>
          </w:tcPr>
          <w:p w14:paraId="1023FACB">
            <w:r>
              <w:rPr>
                <w:position w:val="-44"/>
              </w:rPr>
              <w:drawing>
                <wp:inline distT="0" distB="0" distL="0" distR="0">
                  <wp:extent cx="2059305" cy="1621155"/>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7">
                            <a:extLst>
                              <a:ext uri="{28A0092B-C50C-407E-A947-70E740481C1C}">
                                <a14:useLocalDpi xmlns:a14="http://schemas.microsoft.com/office/drawing/2010/main" val="0"/>
                              </a:ext>
                            </a:extLst>
                          </a:blip>
                          <a:srcRect l="2024" t="2026" r="2034" b="3972"/>
                          <a:stretch>
                            <a:fillRect/>
                          </a:stretch>
                        </pic:blipFill>
                        <pic:spPr>
                          <a:xfrm>
                            <a:off x="0" y="0"/>
                            <a:ext cx="2078216" cy="1636145"/>
                          </a:xfrm>
                          <a:prstGeom prst="rect">
                            <a:avLst/>
                          </a:prstGeom>
                          <a:ln>
                            <a:noFill/>
                          </a:ln>
                        </pic:spPr>
                      </pic:pic>
                    </a:graphicData>
                  </a:graphic>
                </wp:inline>
              </w:drawing>
            </w:r>
          </w:p>
        </w:tc>
      </w:tr>
      <w:tr w14:paraId="7C404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restart"/>
            <w:vAlign w:val="center"/>
          </w:tcPr>
          <w:p w14:paraId="1A00C73A">
            <w:pPr>
              <w:rPr>
                <w:rFonts w:ascii="宋体" w:hAnsi="宋体"/>
                <w:sz w:val="24"/>
                <w:szCs w:val="24"/>
              </w:rPr>
            </w:pPr>
            <w:r>
              <w:rPr>
                <w:rFonts w:ascii="宋体" w:hAnsi="宋体" w:cs="Helvetica"/>
                <w:color w:val="060607"/>
                <w:spacing w:val="4"/>
                <w:sz w:val="24"/>
                <w:szCs w:val="24"/>
              </w:rPr>
              <w:t>其他类</w:t>
            </w:r>
          </w:p>
        </w:tc>
        <w:tc>
          <w:tcPr>
            <w:tcW w:w="515" w:type="pct"/>
            <w:vAlign w:val="center"/>
          </w:tcPr>
          <w:p w14:paraId="0DC088EE">
            <w:pPr>
              <w:rPr>
                <w:rFonts w:ascii="宋体" w:hAnsi="宋体"/>
                <w:sz w:val="24"/>
                <w:szCs w:val="24"/>
              </w:rPr>
            </w:pPr>
            <w:r>
              <w:rPr>
                <w:rFonts w:ascii="宋体" w:hAnsi="宋体" w:cs="Helvetica"/>
                <w:color w:val="060607"/>
                <w:spacing w:val="4"/>
                <w:sz w:val="24"/>
                <w:szCs w:val="24"/>
              </w:rPr>
              <w:t>路框差</w:t>
            </w:r>
          </w:p>
        </w:tc>
        <w:tc>
          <w:tcPr>
            <w:tcW w:w="2011" w:type="pct"/>
            <w:vAlign w:val="center"/>
          </w:tcPr>
          <w:p w14:paraId="723FD880">
            <w:pPr>
              <w:rPr>
                <w:rFonts w:ascii="宋体" w:hAnsi="宋体"/>
                <w:sz w:val="24"/>
                <w:szCs w:val="24"/>
              </w:rPr>
            </w:pPr>
            <w:r>
              <w:rPr>
                <w:rFonts w:ascii="宋体" w:hAnsi="宋体" w:cs="Helvetica"/>
                <w:color w:val="060607"/>
                <w:spacing w:val="4"/>
                <w:sz w:val="24"/>
                <w:szCs w:val="24"/>
              </w:rPr>
              <w:t>路表与检查井框顶面的相对高差（高或低）</w:t>
            </w:r>
          </w:p>
        </w:tc>
        <w:tc>
          <w:tcPr>
            <w:tcW w:w="2137" w:type="pct"/>
          </w:tcPr>
          <w:p w14:paraId="15FB3D55">
            <w:pPr>
              <w:rPr>
                <w:rFonts w:ascii="宋体" w:hAnsi="宋体"/>
                <w:sz w:val="24"/>
                <w:szCs w:val="24"/>
              </w:rPr>
            </w:pPr>
            <w:r>
              <w:rPr>
                <w:position w:val="-43"/>
              </w:rPr>
              <w:drawing>
                <wp:inline distT="0" distB="0" distL="0" distR="0">
                  <wp:extent cx="2059305" cy="169545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8">
                            <a:extLst>
                              <a:ext uri="{28A0092B-C50C-407E-A947-70E740481C1C}">
                                <a14:useLocalDpi xmlns:a14="http://schemas.microsoft.com/office/drawing/2010/main" val="0"/>
                              </a:ext>
                            </a:extLst>
                          </a:blip>
                          <a:stretch>
                            <a:fillRect/>
                          </a:stretch>
                        </pic:blipFill>
                        <pic:spPr>
                          <a:xfrm>
                            <a:off x="0" y="0"/>
                            <a:ext cx="2070340" cy="1704578"/>
                          </a:xfrm>
                          <a:prstGeom prst="rect">
                            <a:avLst/>
                          </a:prstGeom>
                        </pic:spPr>
                      </pic:pic>
                    </a:graphicData>
                  </a:graphic>
                </wp:inline>
              </w:drawing>
            </w:r>
          </w:p>
        </w:tc>
      </w:tr>
      <w:tr w14:paraId="4FE69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continue"/>
            <w:vAlign w:val="center"/>
          </w:tcPr>
          <w:p w14:paraId="2A660D78">
            <w:pPr>
              <w:rPr>
                <w:rFonts w:ascii="宋体" w:hAnsi="宋体"/>
                <w:sz w:val="24"/>
                <w:szCs w:val="24"/>
              </w:rPr>
            </w:pPr>
          </w:p>
        </w:tc>
        <w:tc>
          <w:tcPr>
            <w:tcW w:w="515" w:type="pct"/>
            <w:vAlign w:val="center"/>
          </w:tcPr>
          <w:p w14:paraId="18F32FBE">
            <w:pPr>
              <w:rPr>
                <w:rFonts w:ascii="宋体" w:hAnsi="宋体"/>
                <w:sz w:val="24"/>
                <w:szCs w:val="24"/>
              </w:rPr>
            </w:pPr>
            <w:r>
              <w:rPr>
                <w:rFonts w:ascii="宋体" w:hAnsi="宋体" w:cs="Helvetica"/>
                <w:color w:val="060607"/>
                <w:spacing w:val="4"/>
                <w:sz w:val="24"/>
                <w:szCs w:val="24"/>
              </w:rPr>
              <w:t>唧浆</w:t>
            </w:r>
          </w:p>
        </w:tc>
        <w:tc>
          <w:tcPr>
            <w:tcW w:w="2011" w:type="pct"/>
            <w:vAlign w:val="center"/>
          </w:tcPr>
          <w:p w14:paraId="7A639954">
            <w:pPr>
              <w:rPr>
                <w:rFonts w:ascii="宋体" w:hAnsi="宋体"/>
                <w:sz w:val="24"/>
                <w:szCs w:val="24"/>
              </w:rPr>
            </w:pPr>
            <w:r>
              <w:rPr>
                <w:rFonts w:ascii="宋体" w:hAnsi="宋体" w:cs="Helvetica"/>
                <w:color w:val="060607"/>
                <w:spacing w:val="4"/>
                <w:sz w:val="24"/>
                <w:szCs w:val="24"/>
              </w:rPr>
              <w:t>面层渗水进入基层，基层中细小颗粒从面层空隙喷薄出来</w:t>
            </w:r>
          </w:p>
        </w:tc>
        <w:tc>
          <w:tcPr>
            <w:tcW w:w="2137" w:type="pct"/>
          </w:tcPr>
          <w:p w14:paraId="4395B295">
            <w:pPr>
              <w:rPr>
                <w:rFonts w:ascii="宋体" w:hAnsi="宋体"/>
                <w:sz w:val="24"/>
                <w:szCs w:val="24"/>
              </w:rPr>
            </w:pPr>
            <w:r>
              <w:rPr>
                <w:position w:val="-42"/>
              </w:rPr>
              <w:drawing>
                <wp:inline distT="0" distB="0" distL="0" distR="0">
                  <wp:extent cx="2082800" cy="1750060"/>
                  <wp:effectExtent l="0" t="0" r="0" b="254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9">
                            <a:extLst>
                              <a:ext uri="{28A0092B-C50C-407E-A947-70E740481C1C}">
                                <a14:useLocalDpi xmlns:a14="http://schemas.microsoft.com/office/drawing/2010/main" val="0"/>
                              </a:ext>
                            </a:extLst>
                          </a:blip>
                          <a:stretch>
                            <a:fillRect/>
                          </a:stretch>
                        </pic:blipFill>
                        <pic:spPr>
                          <a:xfrm>
                            <a:off x="0" y="0"/>
                            <a:ext cx="2091226" cy="1757072"/>
                          </a:xfrm>
                          <a:prstGeom prst="rect">
                            <a:avLst/>
                          </a:prstGeom>
                        </pic:spPr>
                      </pic:pic>
                    </a:graphicData>
                  </a:graphic>
                </wp:inline>
              </w:drawing>
            </w:r>
          </w:p>
        </w:tc>
      </w:tr>
      <w:tr w14:paraId="59207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pct"/>
            <w:vMerge w:val="continue"/>
            <w:vAlign w:val="center"/>
          </w:tcPr>
          <w:p w14:paraId="55A0EE31">
            <w:pPr>
              <w:rPr>
                <w:rFonts w:ascii="宋体" w:hAnsi="宋体"/>
                <w:sz w:val="24"/>
                <w:szCs w:val="24"/>
              </w:rPr>
            </w:pPr>
          </w:p>
        </w:tc>
        <w:tc>
          <w:tcPr>
            <w:tcW w:w="515" w:type="pct"/>
            <w:vAlign w:val="center"/>
          </w:tcPr>
          <w:p w14:paraId="7F9AD0A7">
            <w:pPr>
              <w:rPr>
                <w:rFonts w:ascii="宋体" w:hAnsi="宋体"/>
                <w:sz w:val="24"/>
                <w:szCs w:val="24"/>
              </w:rPr>
            </w:pPr>
            <w:r>
              <w:rPr>
                <w:rFonts w:ascii="宋体" w:hAnsi="宋体" w:cs="Helvetica"/>
                <w:color w:val="060607"/>
                <w:spacing w:val="4"/>
                <w:sz w:val="24"/>
                <w:szCs w:val="24"/>
              </w:rPr>
              <w:t>泛油</w:t>
            </w:r>
          </w:p>
        </w:tc>
        <w:tc>
          <w:tcPr>
            <w:tcW w:w="2011" w:type="pct"/>
            <w:vAlign w:val="center"/>
          </w:tcPr>
          <w:p w14:paraId="3204DC22">
            <w:pPr>
              <w:rPr>
                <w:rFonts w:ascii="宋体" w:hAnsi="宋体"/>
                <w:sz w:val="24"/>
                <w:szCs w:val="24"/>
              </w:rPr>
            </w:pPr>
            <w:r>
              <w:rPr>
                <w:rFonts w:ascii="宋体" w:hAnsi="宋体" w:cs="Helvetica"/>
                <w:color w:val="060607"/>
                <w:spacing w:val="4"/>
                <w:sz w:val="24"/>
                <w:szCs w:val="24"/>
              </w:rPr>
              <w:t>高温季节沥青被挤出，表面形成薄油层，行车出现轮迹</w:t>
            </w:r>
          </w:p>
        </w:tc>
        <w:tc>
          <w:tcPr>
            <w:tcW w:w="2137" w:type="pct"/>
          </w:tcPr>
          <w:p w14:paraId="6E64F7EA">
            <w:pPr>
              <w:rPr>
                <w:rFonts w:ascii="宋体" w:hAnsi="宋体"/>
                <w:sz w:val="24"/>
                <w:szCs w:val="24"/>
              </w:rPr>
            </w:pPr>
            <w:r>
              <w:rPr>
                <w:position w:val="-39"/>
              </w:rPr>
              <w:drawing>
                <wp:inline distT="0" distB="0" distL="0" distR="0">
                  <wp:extent cx="2106930" cy="1744980"/>
                  <wp:effectExtent l="0" t="0" r="7620" b="762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0">
                            <a:extLst>
                              <a:ext uri="{28A0092B-C50C-407E-A947-70E740481C1C}">
                                <a14:useLocalDpi xmlns:a14="http://schemas.microsoft.com/office/drawing/2010/main" val="0"/>
                              </a:ext>
                            </a:extLst>
                          </a:blip>
                          <a:stretch>
                            <a:fillRect/>
                          </a:stretch>
                        </pic:blipFill>
                        <pic:spPr>
                          <a:xfrm>
                            <a:off x="0" y="0"/>
                            <a:ext cx="2114326" cy="1751023"/>
                          </a:xfrm>
                          <a:prstGeom prst="rect">
                            <a:avLst/>
                          </a:prstGeom>
                        </pic:spPr>
                      </pic:pic>
                    </a:graphicData>
                  </a:graphic>
                </wp:inline>
              </w:drawing>
            </w:r>
          </w:p>
        </w:tc>
      </w:tr>
    </w:tbl>
    <w:p w14:paraId="325F384D"/>
    <w:p w14:paraId="3AEB9FF8">
      <w:pPr>
        <w:pStyle w:val="3"/>
        <w:spacing w:before="156" w:after="156"/>
      </w:pPr>
      <w:bookmarkStart w:id="48" w:name="_Toc200377216"/>
      <w:r>
        <w:rPr>
          <w:rFonts w:hint="eastAsia"/>
        </w:rPr>
        <w:t>病害处治</w:t>
      </w:r>
      <w:bookmarkEnd w:id="48"/>
    </w:p>
    <w:p w14:paraId="4B1A451B">
      <w:pPr>
        <w:pStyle w:val="4"/>
        <w:rPr>
          <w:b/>
          <w:bCs w:val="0"/>
        </w:rPr>
      </w:pPr>
      <w:r>
        <w:rPr>
          <w:b/>
          <w:bCs w:val="0"/>
        </w:rPr>
        <w:t>裂缝</w:t>
      </w:r>
    </w:p>
    <w:p w14:paraId="51105BA4">
      <w:pPr>
        <w:widowControl/>
        <w:shd w:val="clear" w:color="auto" w:fill="FFFFFF"/>
        <w:tabs>
          <w:tab w:val="left" w:pos="720"/>
        </w:tabs>
        <w:textAlignment w:val="baseline"/>
        <w:rPr>
          <w:rFonts w:ascii="宋体" w:hAnsi="宋体" w:cs="Helvetica"/>
          <w:color w:val="060607"/>
          <w:spacing w:val="4"/>
          <w:szCs w:val="28"/>
        </w:rPr>
      </w:pPr>
      <w:r>
        <w:rPr>
          <w:rFonts w:hint="eastAsia" w:ascii="宋体" w:hAnsi="宋体" w:cs="Helvetica"/>
          <w:color w:val="060607"/>
          <w:spacing w:val="4"/>
          <w:szCs w:val="28"/>
        </w:rPr>
        <w:t>5</w:t>
      </w:r>
      <w:r>
        <w:rPr>
          <w:rFonts w:ascii="宋体" w:hAnsi="宋体" w:cs="Helvetica"/>
          <w:color w:val="060607"/>
          <w:spacing w:val="4"/>
          <w:szCs w:val="28"/>
        </w:rPr>
        <w:t>.2.1.1 根据裂缝类型、严重程度和原因，采取适宜</w:t>
      </w:r>
      <w:r>
        <w:rPr>
          <w:rFonts w:hint="eastAsia" w:ascii="宋体" w:hAnsi="宋体" w:cs="Helvetica"/>
          <w:color w:val="060607"/>
          <w:spacing w:val="4"/>
          <w:szCs w:val="28"/>
        </w:rPr>
        <w:t>处治</w:t>
      </w:r>
      <w:r>
        <w:rPr>
          <w:rFonts w:ascii="宋体" w:hAnsi="宋体" w:cs="Helvetica"/>
          <w:color w:val="060607"/>
          <w:spacing w:val="4"/>
          <w:szCs w:val="28"/>
        </w:rPr>
        <w:t>措施，及时封闭裂缝。</w:t>
      </w:r>
    </w:p>
    <w:p w14:paraId="7F6585E7">
      <w:pPr>
        <w:widowControl/>
        <w:shd w:val="clear" w:color="auto" w:fill="FFFFFF"/>
        <w:tabs>
          <w:tab w:val="left" w:pos="720"/>
        </w:tabs>
        <w:textAlignment w:val="baseline"/>
        <w:rPr>
          <w:rFonts w:ascii="宋体" w:hAnsi="宋体" w:cs="Helvetica"/>
          <w:color w:val="060607"/>
          <w:spacing w:val="4"/>
          <w:szCs w:val="28"/>
        </w:rPr>
      </w:pPr>
      <w:r>
        <w:rPr>
          <w:rFonts w:hint="eastAsia" w:ascii="宋体" w:hAnsi="宋体" w:cs="Helvetica"/>
          <w:color w:val="060607"/>
          <w:spacing w:val="4"/>
          <w:szCs w:val="28"/>
        </w:rPr>
        <w:t>5</w:t>
      </w:r>
      <w:r>
        <w:rPr>
          <w:rFonts w:ascii="宋体" w:hAnsi="宋体" w:cs="Helvetica"/>
          <w:color w:val="060607"/>
          <w:spacing w:val="4"/>
          <w:szCs w:val="28"/>
        </w:rPr>
        <w:t xml:space="preserve">.2.1.2 </w:t>
      </w:r>
      <w:r>
        <w:rPr>
          <w:rFonts w:hint="eastAsia" w:ascii="宋体" w:hAnsi="宋体" w:cs="Helvetica"/>
          <w:color w:val="060607"/>
          <w:spacing w:val="4"/>
          <w:szCs w:val="28"/>
        </w:rPr>
        <w:t>路面出现线裂、网裂，</w:t>
      </w:r>
      <w:r>
        <w:rPr>
          <w:rFonts w:ascii="宋体" w:hAnsi="宋体" w:cs="Helvetica"/>
          <w:color w:val="060607"/>
          <w:spacing w:val="4"/>
          <w:szCs w:val="28"/>
        </w:rPr>
        <w:t>裂缝宽度≤10mm时，</w:t>
      </w:r>
      <w:r>
        <w:rPr>
          <w:rFonts w:hint="eastAsia" w:ascii="宋体" w:hAnsi="宋体" w:cs="Helvetica"/>
          <w:color w:val="060607"/>
          <w:spacing w:val="4"/>
          <w:szCs w:val="28"/>
        </w:rPr>
        <w:t>应用清缝灌浆</w:t>
      </w:r>
      <w:r>
        <w:rPr>
          <w:rFonts w:ascii="宋体" w:hAnsi="宋体" w:cs="Helvetica"/>
          <w:color w:val="060607"/>
          <w:spacing w:val="4"/>
          <w:szCs w:val="28"/>
        </w:rPr>
        <w:t>处理。</w:t>
      </w:r>
    </w:p>
    <w:p w14:paraId="0BEC08A9">
      <w:pPr>
        <w:widowControl/>
        <w:shd w:val="clear" w:color="auto" w:fill="FFFFFF"/>
        <w:tabs>
          <w:tab w:val="left" w:pos="720"/>
        </w:tabs>
        <w:textAlignment w:val="baseline"/>
        <w:rPr>
          <w:rFonts w:ascii="宋体" w:hAnsi="宋体" w:cs="Helvetica"/>
          <w:color w:val="060607"/>
          <w:spacing w:val="4"/>
          <w:szCs w:val="28"/>
        </w:rPr>
      </w:pPr>
      <w:r>
        <w:rPr>
          <w:rFonts w:ascii="宋体" w:hAnsi="宋体" w:cs="Helvetica"/>
          <w:color w:val="060607"/>
          <w:spacing w:val="4"/>
          <w:szCs w:val="28"/>
        </w:rPr>
        <w:t xml:space="preserve">5.2.1.3 </w:t>
      </w:r>
      <w:r>
        <w:rPr>
          <w:rFonts w:hint="eastAsia" w:ascii="宋体" w:hAnsi="宋体" w:cs="Helvetica"/>
          <w:color w:val="060607"/>
          <w:spacing w:val="4"/>
          <w:szCs w:val="28"/>
        </w:rPr>
        <w:t>路面出现严重网裂、龟裂，应按坑槽修补方法处治。</w:t>
      </w:r>
    </w:p>
    <w:p w14:paraId="1EF26BA2">
      <w:pPr>
        <w:widowControl/>
        <w:shd w:val="clear" w:color="auto" w:fill="FFFFFF"/>
        <w:tabs>
          <w:tab w:val="left" w:pos="720"/>
        </w:tabs>
        <w:textAlignment w:val="baseline"/>
        <w:rPr>
          <w:rFonts w:ascii="宋体" w:hAnsi="宋体" w:cs="Helvetica"/>
          <w:b/>
          <w:bCs/>
          <w:color w:val="060607"/>
          <w:spacing w:val="4"/>
          <w:szCs w:val="28"/>
        </w:rPr>
      </w:pPr>
      <w:r>
        <w:rPr>
          <w:rFonts w:hint="eastAsia" w:ascii="宋体" w:hAnsi="宋体" w:cs="Helvetica"/>
          <w:b/>
          <w:bCs/>
          <w:color w:val="060607"/>
          <w:spacing w:val="4"/>
          <w:szCs w:val="28"/>
        </w:rPr>
        <w:t>清缝灌浆</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3585"/>
        <w:gridCol w:w="4080"/>
      </w:tblGrid>
      <w:tr w14:paraId="417E9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365AD0D4">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序号</w:t>
            </w:r>
          </w:p>
        </w:tc>
        <w:tc>
          <w:tcPr>
            <w:tcW w:w="4542" w:type="dxa"/>
          </w:tcPr>
          <w:p w14:paraId="440CE471">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步骤</w:t>
            </w:r>
          </w:p>
        </w:tc>
        <w:tc>
          <w:tcPr>
            <w:tcW w:w="2766" w:type="dxa"/>
          </w:tcPr>
          <w:p w14:paraId="402F7BF2">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图例</w:t>
            </w:r>
          </w:p>
        </w:tc>
      </w:tr>
      <w:tr w14:paraId="2B99D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797963E9">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1</w:t>
            </w:r>
          </w:p>
        </w:tc>
        <w:tc>
          <w:tcPr>
            <w:tcW w:w="4542" w:type="dxa"/>
          </w:tcPr>
          <w:p w14:paraId="498D976C">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现场安全文明施工组织</w:t>
            </w:r>
          </w:p>
          <w:p w14:paraId="05B651E0">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布置施工现场，人员穿着反光标志服，设置警示标识，合理安排交通管制措施。</w:t>
            </w:r>
          </w:p>
        </w:tc>
        <w:tc>
          <w:tcPr>
            <w:tcW w:w="2766" w:type="dxa"/>
          </w:tcPr>
          <w:p w14:paraId="0CD3D192">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drawing>
                <wp:inline distT="0" distB="0" distL="0" distR="0">
                  <wp:extent cx="2447925" cy="18313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448000" cy="1831428"/>
                          </a:xfrm>
                          <a:prstGeom prst="rect">
                            <a:avLst/>
                          </a:prstGeom>
                          <a:noFill/>
                          <a:ln>
                            <a:noFill/>
                          </a:ln>
                        </pic:spPr>
                      </pic:pic>
                    </a:graphicData>
                  </a:graphic>
                </wp:inline>
              </w:drawing>
            </w:r>
          </w:p>
        </w:tc>
      </w:tr>
      <w:tr w14:paraId="6595F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157F1F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2</w:t>
            </w:r>
          </w:p>
        </w:tc>
        <w:tc>
          <w:tcPr>
            <w:tcW w:w="4542" w:type="dxa"/>
          </w:tcPr>
          <w:p w14:paraId="4A1F1FCC">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灌浆料加热</w:t>
            </w:r>
          </w:p>
          <w:p w14:paraId="32A807A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灌缝作业前，将灌浆料加热至要求温度，确保充分熔化。</w:t>
            </w:r>
          </w:p>
        </w:tc>
        <w:tc>
          <w:tcPr>
            <w:tcW w:w="2766" w:type="dxa"/>
          </w:tcPr>
          <w:p w14:paraId="5C3A5C2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drawing>
                <wp:inline distT="0" distB="0" distL="0" distR="0">
                  <wp:extent cx="2447925" cy="183324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448000" cy="1833778"/>
                          </a:xfrm>
                          <a:prstGeom prst="rect">
                            <a:avLst/>
                          </a:prstGeom>
                          <a:noFill/>
                          <a:ln>
                            <a:noFill/>
                          </a:ln>
                        </pic:spPr>
                      </pic:pic>
                    </a:graphicData>
                  </a:graphic>
                </wp:inline>
              </w:drawing>
            </w:r>
          </w:p>
        </w:tc>
      </w:tr>
      <w:tr w14:paraId="5002F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3855D820">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3</w:t>
            </w:r>
          </w:p>
        </w:tc>
        <w:tc>
          <w:tcPr>
            <w:tcW w:w="4542" w:type="dxa"/>
          </w:tcPr>
          <w:p w14:paraId="5D572AF5">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清缝</w:t>
            </w:r>
          </w:p>
          <w:p w14:paraId="6E41935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先清理缝内松动颗粒物，再用风机清理缝内杂物、粉尘。如有潮湿，应用热风对裂缝进行烘干。</w:t>
            </w:r>
          </w:p>
        </w:tc>
        <w:tc>
          <w:tcPr>
            <w:tcW w:w="2766" w:type="dxa"/>
          </w:tcPr>
          <w:p w14:paraId="604F7FEC">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drawing>
                <wp:inline distT="0" distB="0" distL="0" distR="0">
                  <wp:extent cx="2447925" cy="18275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448000" cy="1827596"/>
                          </a:xfrm>
                          <a:prstGeom prst="rect">
                            <a:avLst/>
                          </a:prstGeom>
                          <a:noFill/>
                          <a:ln>
                            <a:noFill/>
                          </a:ln>
                        </pic:spPr>
                      </pic:pic>
                    </a:graphicData>
                  </a:graphic>
                </wp:inline>
              </w:drawing>
            </w:r>
          </w:p>
        </w:tc>
      </w:tr>
      <w:tr w14:paraId="168D4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6D7B311B">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4</w:t>
            </w:r>
          </w:p>
        </w:tc>
        <w:tc>
          <w:tcPr>
            <w:tcW w:w="4542" w:type="dxa"/>
          </w:tcPr>
          <w:p w14:paraId="6D708892">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灌缝</w:t>
            </w:r>
          </w:p>
          <w:p w14:paraId="57CC427F">
            <w:pPr>
              <w:rPr>
                <w:rFonts w:ascii="宋体" w:hAnsi="宋体" w:cs="Helvetica"/>
                <w:color w:val="060607"/>
                <w:spacing w:val="4"/>
                <w:sz w:val="24"/>
                <w:szCs w:val="24"/>
              </w:rPr>
            </w:pPr>
            <w:r>
              <w:rPr>
                <w:rFonts w:hint="eastAsia" w:ascii="宋体" w:hAnsi="宋体" w:cs="Helvetica"/>
                <w:color w:val="060607"/>
                <w:spacing w:val="4"/>
                <w:sz w:val="24"/>
                <w:szCs w:val="24"/>
              </w:rPr>
              <w:t>将</w:t>
            </w:r>
            <w:r>
              <w:rPr>
                <w:rFonts w:ascii="宋体" w:hAnsi="宋体" w:cs="Helvetica"/>
                <w:color w:val="060607"/>
                <w:spacing w:val="4"/>
                <w:sz w:val="24"/>
                <w:szCs w:val="24"/>
              </w:rPr>
              <w:t>将加热后的灌缝料均匀灌入裂缝中，控制灌注量，避免溢出。灌缝后可进行压实处理</w:t>
            </w:r>
            <w:r>
              <w:rPr>
                <w:rFonts w:hint="eastAsia" w:ascii="宋体" w:hAnsi="宋体" w:cs="Helvetica"/>
                <w:color w:val="060607"/>
                <w:spacing w:val="4"/>
                <w:sz w:val="24"/>
                <w:szCs w:val="24"/>
              </w:rPr>
              <w:t>，</w:t>
            </w:r>
            <w:r>
              <w:rPr>
                <w:rFonts w:ascii="宋体" w:hAnsi="宋体" w:cs="Helvetica"/>
                <w:color w:val="060607"/>
                <w:spacing w:val="4"/>
                <w:sz w:val="24"/>
                <w:szCs w:val="24"/>
              </w:rPr>
              <w:t>确保灌缝料与裂缝壁紧密结合。</w:t>
            </w:r>
          </w:p>
        </w:tc>
        <w:tc>
          <w:tcPr>
            <w:tcW w:w="2766" w:type="dxa"/>
          </w:tcPr>
          <w:p w14:paraId="5ECE874C">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drawing>
                <wp:inline distT="0" distB="0" distL="0" distR="0">
                  <wp:extent cx="2447925" cy="183324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448000" cy="1833879"/>
                          </a:xfrm>
                          <a:prstGeom prst="rect">
                            <a:avLst/>
                          </a:prstGeom>
                          <a:noFill/>
                          <a:ln>
                            <a:noFill/>
                          </a:ln>
                        </pic:spPr>
                      </pic:pic>
                    </a:graphicData>
                  </a:graphic>
                </wp:inline>
              </w:drawing>
            </w:r>
          </w:p>
        </w:tc>
      </w:tr>
      <w:tr w14:paraId="09077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610C0BB2">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5</w:t>
            </w:r>
          </w:p>
        </w:tc>
        <w:tc>
          <w:tcPr>
            <w:tcW w:w="4542" w:type="dxa"/>
          </w:tcPr>
          <w:p w14:paraId="5BE01C2F">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开放交通</w:t>
            </w:r>
          </w:p>
          <w:p w14:paraId="3F4E807E">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灌缝完成，路面清理干净，集中装车运离现场，不得将废料堆弃路边。待灌缝部分冷却至常温后即可开放交通。</w:t>
            </w:r>
          </w:p>
        </w:tc>
        <w:tc>
          <w:tcPr>
            <w:tcW w:w="2766" w:type="dxa"/>
          </w:tcPr>
          <w:p w14:paraId="7D47033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drawing>
                <wp:inline distT="0" distB="0" distL="0" distR="0">
                  <wp:extent cx="2447925" cy="2143760"/>
                  <wp:effectExtent l="0" t="0" r="5715"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448000" cy="2144340"/>
                          </a:xfrm>
                          <a:prstGeom prst="rect">
                            <a:avLst/>
                          </a:prstGeom>
                          <a:noFill/>
                          <a:ln>
                            <a:noFill/>
                          </a:ln>
                        </pic:spPr>
                      </pic:pic>
                    </a:graphicData>
                  </a:graphic>
                </wp:inline>
              </w:drawing>
            </w:r>
          </w:p>
        </w:tc>
      </w:tr>
    </w:tbl>
    <w:p w14:paraId="759E97F5"/>
    <w:p w14:paraId="3D7A95FA">
      <w:pPr>
        <w:pStyle w:val="4"/>
        <w:rPr>
          <w:b/>
          <w:bCs w:val="0"/>
        </w:rPr>
      </w:pPr>
      <w:r>
        <w:rPr>
          <w:b/>
          <w:bCs w:val="0"/>
        </w:rPr>
        <w:t>拥包</w:t>
      </w:r>
    </w:p>
    <w:p w14:paraId="74EE15DA">
      <w:pPr>
        <w:widowControl/>
        <w:shd w:val="clear" w:color="auto" w:fill="FFFFFF"/>
        <w:tabs>
          <w:tab w:val="left" w:pos="720"/>
        </w:tabs>
        <w:ind w:firstLine="576" w:firstLineChars="200"/>
        <w:textAlignment w:val="baseline"/>
        <w:rPr>
          <w:rFonts w:ascii="宋体" w:hAnsi="宋体" w:cs="Helvetica"/>
          <w:color w:val="060607"/>
          <w:spacing w:val="4"/>
          <w:szCs w:val="28"/>
        </w:rPr>
      </w:pPr>
      <w:r>
        <w:rPr>
          <w:rFonts w:ascii="宋体" w:hAnsi="宋体" w:cs="Helvetica"/>
          <w:color w:val="060607"/>
          <w:spacing w:val="4"/>
          <w:szCs w:val="28"/>
        </w:rPr>
        <w:t>根据拥包类型和原因，可采用局部铣刨、局部铣刨重铺、就地热再生、整体铣刨重铺等。</w:t>
      </w:r>
    </w:p>
    <w:p w14:paraId="13FA4C5B">
      <w:pPr>
        <w:widowControl/>
        <w:shd w:val="clear" w:color="auto" w:fill="FFFFFF"/>
        <w:tabs>
          <w:tab w:val="left" w:pos="720"/>
        </w:tabs>
        <w:textAlignment w:val="baseline"/>
        <w:rPr>
          <w:rFonts w:ascii="宋体" w:hAnsi="宋体" w:cs="Helvetica"/>
          <w:b/>
          <w:bCs/>
          <w:color w:val="060607"/>
          <w:spacing w:val="4"/>
          <w:szCs w:val="28"/>
        </w:rPr>
      </w:pPr>
      <w:r>
        <w:rPr>
          <w:rFonts w:ascii="宋体" w:hAnsi="宋体" w:cs="Helvetica"/>
          <w:b/>
          <w:bCs/>
          <w:color w:val="060607"/>
          <w:spacing w:val="4"/>
          <w:szCs w:val="28"/>
        </w:rPr>
        <w:t>铣刨重铺</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
        <w:gridCol w:w="4070"/>
        <w:gridCol w:w="3546"/>
      </w:tblGrid>
      <w:tr w14:paraId="3DA67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564673E4">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序号</w:t>
            </w:r>
          </w:p>
        </w:tc>
        <w:tc>
          <w:tcPr>
            <w:tcW w:w="4542" w:type="dxa"/>
          </w:tcPr>
          <w:p w14:paraId="31766E98">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步骤</w:t>
            </w:r>
          </w:p>
        </w:tc>
        <w:tc>
          <w:tcPr>
            <w:tcW w:w="2766" w:type="dxa"/>
          </w:tcPr>
          <w:p w14:paraId="196306B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图例</w:t>
            </w:r>
          </w:p>
        </w:tc>
      </w:tr>
      <w:tr w14:paraId="50B44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7A59F6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1</w:t>
            </w:r>
          </w:p>
        </w:tc>
        <w:tc>
          <w:tcPr>
            <w:tcW w:w="4542" w:type="dxa"/>
          </w:tcPr>
          <w:p w14:paraId="33A6B1C6">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现场安全文明施工组织</w:t>
            </w:r>
          </w:p>
          <w:p w14:paraId="24A03BC6">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布置施工现场，人员穿着反光标志服，设置警示标识，合理安排交通管制措施。</w:t>
            </w:r>
          </w:p>
        </w:tc>
        <w:tc>
          <w:tcPr>
            <w:tcW w:w="2766" w:type="dxa"/>
          </w:tcPr>
          <w:p w14:paraId="7AF80BDC">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39290" cy="1454785"/>
                  <wp:effectExtent l="0" t="0" r="381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951974" cy="1464118"/>
                          </a:xfrm>
                          <a:prstGeom prst="rect">
                            <a:avLst/>
                          </a:prstGeom>
                          <a:noFill/>
                          <a:ln>
                            <a:noFill/>
                          </a:ln>
                        </pic:spPr>
                      </pic:pic>
                    </a:graphicData>
                  </a:graphic>
                </wp:inline>
              </w:drawing>
            </w:r>
          </w:p>
        </w:tc>
      </w:tr>
      <w:tr w14:paraId="57596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5A16E761">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2</w:t>
            </w:r>
          </w:p>
        </w:tc>
        <w:tc>
          <w:tcPr>
            <w:tcW w:w="4542" w:type="dxa"/>
          </w:tcPr>
          <w:p w14:paraId="31E413AF">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确定处治范围</w:t>
            </w:r>
          </w:p>
          <w:p w14:paraId="122971E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病害处治面积一般沿病害四周向外扩大1</w:t>
            </w:r>
            <w:r>
              <w:rPr>
                <w:rFonts w:ascii="宋体" w:hAnsi="宋体" w:cs="Helvetica"/>
                <w:color w:val="060607"/>
                <w:spacing w:val="4"/>
                <w:sz w:val="24"/>
                <w:szCs w:val="24"/>
              </w:rPr>
              <w:t>00</w:t>
            </w:r>
            <w:r>
              <w:rPr>
                <w:rFonts w:hint="eastAsia" w:ascii="宋体" w:hAnsi="宋体" w:cs="Helvetica"/>
                <w:color w:val="060607"/>
                <w:spacing w:val="4"/>
                <w:sz w:val="24"/>
                <w:szCs w:val="24"/>
              </w:rPr>
              <w:t>mm以上的方形范围。</w:t>
            </w:r>
          </w:p>
        </w:tc>
        <w:tc>
          <w:tcPr>
            <w:tcW w:w="2766" w:type="dxa"/>
          </w:tcPr>
          <w:p w14:paraId="5BEDA8C9">
            <w:pPr>
              <w:widowControl/>
              <w:tabs>
                <w:tab w:val="left" w:pos="720"/>
              </w:tabs>
              <w:textAlignment w:val="baseline"/>
              <w:rPr>
                <w:rFonts w:ascii="宋体" w:hAnsi="宋体" w:cs="Helvetica"/>
                <w:color w:val="060607"/>
                <w:spacing w:val="4"/>
                <w:sz w:val="24"/>
                <w:szCs w:val="24"/>
              </w:rPr>
            </w:pPr>
            <w:r>
              <w:rPr>
                <w:position w:val="-40"/>
              </w:rPr>
              <w:drawing>
                <wp:inline distT="0" distB="0" distL="0" distR="0">
                  <wp:extent cx="1995170" cy="1438275"/>
                  <wp:effectExtent l="0" t="0" r="5080" b="0"/>
                  <wp:docPr id="13" name="IM 28"/>
                  <wp:cNvGraphicFramePr/>
                  <a:graphic xmlns:a="http://schemas.openxmlformats.org/drawingml/2006/main">
                    <a:graphicData uri="http://schemas.openxmlformats.org/drawingml/2006/picture">
                      <pic:pic xmlns:pic="http://schemas.openxmlformats.org/drawingml/2006/picture">
                        <pic:nvPicPr>
                          <pic:cNvPr id="13" name="IM 28"/>
                          <pic:cNvPicPr/>
                        </pic:nvPicPr>
                        <pic:blipFill>
                          <a:blip r:embed="rId11">
                            <a:extLst>
                              <a:ext uri="{28A0092B-C50C-407E-A947-70E740481C1C}">
                                <a14:useLocalDpi xmlns:a14="http://schemas.microsoft.com/office/drawing/2010/main" val="0"/>
                              </a:ext>
                            </a:extLst>
                          </a:blip>
                          <a:stretch>
                            <a:fillRect/>
                          </a:stretch>
                        </pic:blipFill>
                        <pic:spPr>
                          <a:xfrm>
                            <a:off x="0" y="0"/>
                            <a:ext cx="2002632" cy="1443354"/>
                          </a:xfrm>
                          <a:prstGeom prst="rect">
                            <a:avLst/>
                          </a:prstGeom>
                        </pic:spPr>
                      </pic:pic>
                    </a:graphicData>
                  </a:graphic>
                </wp:inline>
              </w:drawing>
            </w:r>
          </w:p>
        </w:tc>
      </w:tr>
      <w:tr w14:paraId="1362B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0340CD5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3</w:t>
            </w:r>
          </w:p>
        </w:tc>
        <w:tc>
          <w:tcPr>
            <w:tcW w:w="4542" w:type="dxa"/>
          </w:tcPr>
          <w:p w14:paraId="2AA7AC5A">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铣刨路面</w:t>
            </w:r>
          </w:p>
          <w:p w14:paraId="4A97904C">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铣刨机铣刨路面沥青层，铣刨时，沥青粘接层或封层等一并去除，不留夹层，保持铣刨后路面平整。</w:t>
            </w:r>
          </w:p>
        </w:tc>
        <w:tc>
          <w:tcPr>
            <w:tcW w:w="2766" w:type="dxa"/>
          </w:tcPr>
          <w:p w14:paraId="4B9B2A42">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26285" cy="1517650"/>
                  <wp:effectExtent l="0" t="0" r="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034732" cy="1524285"/>
                          </a:xfrm>
                          <a:prstGeom prst="rect">
                            <a:avLst/>
                          </a:prstGeom>
                          <a:noFill/>
                          <a:ln>
                            <a:noFill/>
                          </a:ln>
                        </pic:spPr>
                      </pic:pic>
                    </a:graphicData>
                  </a:graphic>
                </wp:inline>
              </w:drawing>
            </w:r>
          </w:p>
        </w:tc>
      </w:tr>
      <w:tr w14:paraId="310BD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472C78A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4</w:t>
            </w:r>
          </w:p>
        </w:tc>
        <w:tc>
          <w:tcPr>
            <w:tcW w:w="4542" w:type="dxa"/>
          </w:tcPr>
          <w:p w14:paraId="569B5722">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清理</w:t>
            </w:r>
          </w:p>
          <w:p w14:paraId="52A55843">
            <w:pPr>
              <w:rPr>
                <w:rFonts w:ascii="宋体" w:hAnsi="宋体" w:cs="Helvetica"/>
                <w:color w:val="060607"/>
                <w:spacing w:val="4"/>
                <w:sz w:val="24"/>
                <w:szCs w:val="24"/>
              </w:rPr>
            </w:pPr>
            <w:r>
              <w:rPr>
                <w:rFonts w:hint="eastAsia" w:ascii="宋体" w:hAnsi="宋体" w:cs="Helvetica"/>
                <w:color w:val="060607"/>
                <w:spacing w:val="4"/>
                <w:sz w:val="24"/>
                <w:szCs w:val="24"/>
              </w:rPr>
              <w:t>人工清理铣刨废料，如有潮湿应吹干处理。</w:t>
            </w:r>
          </w:p>
        </w:tc>
        <w:tc>
          <w:tcPr>
            <w:tcW w:w="2766" w:type="dxa"/>
          </w:tcPr>
          <w:p w14:paraId="548168C8">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55495" cy="1533525"/>
                  <wp:effectExtent l="0" t="0" r="190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084235" cy="1554680"/>
                          </a:xfrm>
                          <a:prstGeom prst="rect">
                            <a:avLst/>
                          </a:prstGeom>
                          <a:noFill/>
                          <a:ln>
                            <a:noFill/>
                          </a:ln>
                        </pic:spPr>
                      </pic:pic>
                    </a:graphicData>
                  </a:graphic>
                </wp:inline>
              </w:drawing>
            </w:r>
          </w:p>
        </w:tc>
      </w:tr>
      <w:tr w14:paraId="0F78C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226CCB8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5</w:t>
            </w:r>
          </w:p>
        </w:tc>
        <w:tc>
          <w:tcPr>
            <w:tcW w:w="4542" w:type="dxa"/>
          </w:tcPr>
          <w:p w14:paraId="44D60B51">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涂刷粘层油</w:t>
            </w:r>
          </w:p>
          <w:p w14:paraId="3D6FC649">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铣刨废料清理完毕，在铣刨面涂刷热沥青粘层油，用量一般在0</w:t>
            </w:r>
            <w:r>
              <w:rPr>
                <w:rFonts w:ascii="宋体" w:hAnsi="宋体" w:cs="Helvetica"/>
                <w:color w:val="060607"/>
                <w:spacing w:val="4"/>
                <w:sz w:val="24"/>
                <w:szCs w:val="24"/>
              </w:rPr>
              <w:t>.3</w:t>
            </w:r>
            <w:r>
              <w:rPr>
                <w:rFonts w:cs="Times New Roman"/>
                <w:color w:val="060607"/>
                <w:spacing w:val="4"/>
                <w:sz w:val="24"/>
                <w:szCs w:val="24"/>
              </w:rPr>
              <w:t>~</w:t>
            </w:r>
            <w:r>
              <w:rPr>
                <w:rFonts w:ascii="宋体" w:hAnsi="宋体" w:cs="Helvetica"/>
                <w:color w:val="060607"/>
                <w:spacing w:val="4"/>
                <w:sz w:val="24"/>
                <w:szCs w:val="24"/>
              </w:rPr>
              <w:t>0.6l/m</w:t>
            </w:r>
            <w:r>
              <w:rPr>
                <w:rFonts w:ascii="宋体" w:hAnsi="宋体" w:cs="Helvetica"/>
                <w:color w:val="060607"/>
                <w:spacing w:val="4"/>
                <w:sz w:val="24"/>
                <w:szCs w:val="24"/>
                <w:vertAlign w:val="superscript"/>
              </w:rPr>
              <w:t>2</w:t>
            </w:r>
            <w:r>
              <w:rPr>
                <w:rFonts w:hint="eastAsia" w:ascii="宋体" w:hAnsi="宋体" w:cs="Helvetica"/>
                <w:color w:val="060607"/>
                <w:spacing w:val="4"/>
                <w:sz w:val="24"/>
                <w:szCs w:val="24"/>
              </w:rPr>
              <w:t>左右，尽量涂刷均匀。</w:t>
            </w:r>
          </w:p>
        </w:tc>
        <w:tc>
          <w:tcPr>
            <w:tcW w:w="2766" w:type="dxa"/>
          </w:tcPr>
          <w:p w14:paraId="479C26F4">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88515" cy="1558290"/>
                  <wp:effectExtent l="0" t="0" r="6985"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111574" cy="1575605"/>
                          </a:xfrm>
                          <a:prstGeom prst="rect">
                            <a:avLst/>
                          </a:prstGeom>
                          <a:noFill/>
                          <a:ln>
                            <a:noFill/>
                          </a:ln>
                        </pic:spPr>
                      </pic:pic>
                    </a:graphicData>
                  </a:graphic>
                </wp:inline>
              </w:drawing>
            </w:r>
          </w:p>
        </w:tc>
      </w:tr>
      <w:tr w14:paraId="1C8B1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7D87DED">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6</w:t>
            </w:r>
          </w:p>
        </w:tc>
        <w:tc>
          <w:tcPr>
            <w:tcW w:w="4542" w:type="dxa"/>
          </w:tcPr>
          <w:p w14:paraId="1163D809">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摊铺修补料</w:t>
            </w:r>
          </w:p>
          <w:p w14:paraId="3C294884">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修补料加热到规定温度，避免沥青混合料出现离析，修补料摊铺厚度比原路面略高。</w:t>
            </w:r>
          </w:p>
        </w:tc>
        <w:tc>
          <w:tcPr>
            <w:tcW w:w="2766" w:type="dxa"/>
          </w:tcPr>
          <w:p w14:paraId="395C2638">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88515" cy="1560830"/>
                  <wp:effectExtent l="0" t="0" r="6985"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109089" cy="1576740"/>
                          </a:xfrm>
                          <a:prstGeom prst="rect">
                            <a:avLst/>
                          </a:prstGeom>
                          <a:noFill/>
                          <a:ln>
                            <a:noFill/>
                          </a:ln>
                        </pic:spPr>
                      </pic:pic>
                    </a:graphicData>
                  </a:graphic>
                </wp:inline>
              </w:drawing>
            </w:r>
          </w:p>
        </w:tc>
      </w:tr>
      <w:tr w14:paraId="69CFD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B6C945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7</w:t>
            </w:r>
          </w:p>
        </w:tc>
        <w:tc>
          <w:tcPr>
            <w:tcW w:w="4542" w:type="dxa"/>
          </w:tcPr>
          <w:p w14:paraId="08076452">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碾压</w:t>
            </w:r>
          </w:p>
          <w:p w14:paraId="0B3D2259">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摊铺完后用压路机及时碾压，碾压遵循先四边后中心、先静压后振压、前后左右交替碾压原则，对新旧路面接缝处，应骑缝碾压。</w:t>
            </w:r>
          </w:p>
        </w:tc>
        <w:tc>
          <w:tcPr>
            <w:tcW w:w="2766" w:type="dxa"/>
          </w:tcPr>
          <w:p w14:paraId="785C3C5E">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98675" cy="1572260"/>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128781" cy="1594741"/>
                          </a:xfrm>
                          <a:prstGeom prst="rect">
                            <a:avLst/>
                          </a:prstGeom>
                          <a:noFill/>
                          <a:ln>
                            <a:noFill/>
                          </a:ln>
                        </pic:spPr>
                      </pic:pic>
                    </a:graphicData>
                  </a:graphic>
                </wp:inline>
              </w:drawing>
            </w:r>
          </w:p>
        </w:tc>
      </w:tr>
      <w:tr w14:paraId="36EFF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3E679929">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8</w:t>
            </w:r>
          </w:p>
        </w:tc>
        <w:tc>
          <w:tcPr>
            <w:tcW w:w="4542" w:type="dxa"/>
          </w:tcPr>
          <w:p w14:paraId="1AED993E">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开放交通</w:t>
            </w:r>
          </w:p>
          <w:p w14:paraId="42C20D21">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重铺完毕，路面清理干净，集中装车运离现场。待重铺路面冷却至常温后即可开放交通。</w:t>
            </w:r>
          </w:p>
        </w:tc>
        <w:tc>
          <w:tcPr>
            <w:tcW w:w="2766" w:type="dxa"/>
          </w:tcPr>
          <w:p w14:paraId="3F85BAE0">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106930" cy="1574800"/>
                  <wp:effectExtent l="0" t="0" r="762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151980" cy="1608805"/>
                          </a:xfrm>
                          <a:prstGeom prst="rect">
                            <a:avLst/>
                          </a:prstGeom>
                          <a:noFill/>
                          <a:ln>
                            <a:noFill/>
                          </a:ln>
                        </pic:spPr>
                      </pic:pic>
                    </a:graphicData>
                  </a:graphic>
                </wp:inline>
              </w:drawing>
            </w:r>
          </w:p>
        </w:tc>
      </w:tr>
    </w:tbl>
    <w:p w14:paraId="25F7D31C"/>
    <w:p w14:paraId="7B01B92B">
      <w:pPr>
        <w:rPr>
          <w:b/>
          <w:bCs/>
        </w:rPr>
      </w:pPr>
      <w:r>
        <w:rPr>
          <w:rFonts w:hint="eastAsia"/>
          <w:b/>
          <w:bCs/>
        </w:rPr>
        <w:t>就地热再生</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3560"/>
        <w:gridCol w:w="3919"/>
      </w:tblGrid>
      <w:tr w14:paraId="31950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Pr>
          <w:p w14:paraId="3D36F3F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序号</w:t>
            </w:r>
          </w:p>
        </w:tc>
        <w:tc>
          <w:tcPr>
            <w:tcW w:w="3560" w:type="dxa"/>
          </w:tcPr>
          <w:p w14:paraId="2E9EAEF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步骤</w:t>
            </w:r>
          </w:p>
        </w:tc>
        <w:tc>
          <w:tcPr>
            <w:tcW w:w="3919" w:type="dxa"/>
          </w:tcPr>
          <w:p w14:paraId="1E2AE93B">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图例</w:t>
            </w:r>
          </w:p>
        </w:tc>
      </w:tr>
      <w:tr w14:paraId="7BA0A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Pr>
          <w:p w14:paraId="0973E6B7">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1</w:t>
            </w:r>
          </w:p>
        </w:tc>
        <w:tc>
          <w:tcPr>
            <w:tcW w:w="3560" w:type="dxa"/>
          </w:tcPr>
          <w:p w14:paraId="4990DCC6">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现场安全文明施工组织</w:t>
            </w:r>
          </w:p>
          <w:p w14:paraId="2755075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布置施工现场，人员穿着反光标志服，设置警示标识，合理安排交通管制措施。</w:t>
            </w:r>
          </w:p>
        </w:tc>
        <w:tc>
          <w:tcPr>
            <w:tcW w:w="3919" w:type="dxa"/>
          </w:tcPr>
          <w:p w14:paraId="78D7BC06">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39290" cy="1454785"/>
                  <wp:effectExtent l="0" t="0" r="381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951974" cy="1464118"/>
                          </a:xfrm>
                          <a:prstGeom prst="rect">
                            <a:avLst/>
                          </a:prstGeom>
                          <a:noFill/>
                          <a:ln>
                            <a:noFill/>
                          </a:ln>
                        </pic:spPr>
                      </pic:pic>
                    </a:graphicData>
                  </a:graphic>
                </wp:inline>
              </w:drawing>
            </w:r>
          </w:p>
        </w:tc>
      </w:tr>
      <w:tr w14:paraId="45F9F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Pr>
          <w:p w14:paraId="199A4DD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2</w:t>
            </w:r>
          </w:p>
        </w:tc>
        <w:tc>
          <w:tcPr>
            <w:tcW w:w="3560" w:type="dxa"/>
          </w:tcPr>
          <w:p w14:paraId="24FAE42A">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确定处治范围</w:t>
            </w:r>
          </w:p>
          <w:p w14:paraId="2B3602BE">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病害处治面积一般沿病害四周向外扩大1</w:t>
            </w:r>
            <w:r>
              <w:rPr>
                <w:rFonts w:ascii="宋体" w:hAnsi="宋体" w:cs="Helvetica"/>
                <w:color w:val="060607"/>
                <w:spacing w:val="4"/>
                <w:sz w:val="24"/>
                <w:szCs w:val="24"/>
              </w:rPr>
              <w:t>00</w:t>
            </w:r>
            <w:r>
              <w:rPr>
                <w:rFonts w:hint="eastAsia" w:ascii="宋体" w:hAnsi="宋体" w:cs="Helvetica"/>
                <w:color w:val="060607"/>
                <w:spacing w:val="4"/>
                <w:sz w:val="24"/>
                <w:szCs w:val="24"/>
              </w:rPr>
              <w:t>mm以上的方形范围。</w:t>
            </w:r>
          </w:p>
        </w:tc>
        <w:tc>
          <w:tcPr>
            <w:tcW w:w="3919" w:type="dxa"/>
          </w:tcPr>
          <w:p w14:paraId="58A81A0B">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62785" cy="1466215"/>
                  <wp:effectExtent l="0" t="0" r="0" b="63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971069" cy="1472063"/>
                          </a:xfrm>
                          <a:prstGeom prst="rect">
                            <a:avLst/>
                          </a:prstGeom>
                          <a:noFill/>
                          <a:ln>
                            <a:noFill/>
                          </a:ln>
                        </pic:spPr>
                      </pic:pic>
                    </a:graphicData>
                  </a:graphic>
                </wp:inline>
              </w:drawing>
            </w:r>
          </w:p>
        </w:tc>
      </w:tr>
      <w:tr w14:paraId="76C3C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Pr>
          <w:p w14:paraId="70F06ED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3</w:t>
            </w:r>
          </w:p>
        </w:tc>
        <w:tc>
          <w:tcPr>
            <w:tcW w:w="3560" w:type="dxa"/>
          </w:tcPr>
          <w:p w14:paraId="6C3005CD">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铣刨路面</w:t>
            </w:r>
          </w:p>
          <w:p w14:paraId="5C57F967">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铣刨机铣刨路面沥青层，铣刨时，沥青粘接层或封层等一并去除，不留夹层，保持铣刨后路面平整。</w:t>
            </w:r>
          </w:p>
        </w:tc>
        <w:tc>
          <w:tcPr>
            <w:tcW w:w="3919" w:type="dxa"/>
          </w:tcPr>
          <w:p w14:paraId="4BFF226A">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33270" cy="1352550"/>
                  <wp:effectExtent l="0" t="0" r="508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34"/>
                          <a:stretch>
                            <a:fillRect/>
                          </a:stretch>
                        </pic:blipFill>
                        <pic:spPr>
                          <a:xfrm>
                            <a:off x="0" y="0"/>
                            <a:ext cx="2034478" cy="1353165"/>
                          </a:xfrm>
                          <a:prstGeom prst="rect">
                            <a:avLst/>
                          </a:prstGeom>
                        </pic:spPr>
                      </pic:pic>
                    </a:graphicData>
                  </a:graphic>
                </wp:inline>
              </w:drawing>
            </w:r>
          </w:p>
        </w:tc>
      </w:tr>
      <w:tr w14:paraId="10AF1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Pr>
          <w:p w14:paraId="34A39CF8">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4</w:t>
            </w:r>
          </w:p>
        </w:tc>
        <w:tc>
          <w:tcPr>
            <w:tcW w:w="3560" w:type="dxa"/>
          </w:tcPr>
          <w:p w14:paraId="25B53FEF">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清理</w:t>
            </w:r>
          </w:p>
          <w:p w14:paraId="4FC35701">
            <w:pPr>
              <w:rPr>
                <w:rFonts w:ascii="宋体" w:hAnsi="宋体" w:cs="Helvetica"/>
                <w:color w:val="060607"/>
                <w:spacing w:val="4"/>
                <w:sz w:val="24"/>
                <w:szCs w:val="24"/>
              </w:rPr>
            </w:pPr>
            <w:r>
              <w:rPr>
                <w:rFonts w:hint="eastAsia" w:ascii="宋体" w:hAnsi="宋体" w:cs="Helvetica"/>
                <w:color w:val="060607"/>
                <w:spacing w:val="4"/>
                <w:sz w:val="24"/>
                <w:szCs w:val="24"/>
              </w:rPr>
              <w:t>人工清理铣刨废料，分离旧沥青。如有潮湿应吹干处理。</w:t>
            </w:r>
          </w:p>
        </w:tc>
        <w:tc>
          <w:tcPr>
            <w:tcW w:w="3919" w:type="dxa"/>
          </w:tcPr>
          <w:p w14:paraId="7CB148B9">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33270" cy="1352550"/>
                  <wp:effectExtent l="0" t="0" r="508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4"/>
                          <a:stretch>
                            <a:fillRect/>
                          </a:stretch>
                        </pic:blipFill>
                        <pic:spPr>
                          <a:xfrm>
                            <a:off x="0" y="0"/>
                            <a:ext cx="2034478" cy="1353165"/>
                          </a:xfrm>
                          <a:prstGeom prst="rect">
                            <a:avLst/>
                          </a:prstGeom>
                        </pic:spPr>
                      </pic:pic>
                    </a:graphicData>
                  </a:graphic>
                </wp:inline>
              </w:drawing>
            </w:r>
          </w:p>
        </w:tc>
      </w:tr>
      <w:tr w14:paraId="41655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Pr>
          <w:p w14:paraId="0CE45804">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5</w:t>
            </w:r>
          </w:p>
        </w:tc>
        <w:tc>
          <w:tcPr>
            <w:tcW w:w="3560" w:type="dxa"/>
          </w:tcPr>
          <w:p w14:paraId="36CBE9E8">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就地热再生</w:t>
            </w:r>
          </w:p>
          <w:p w14:paraId="4A225991">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对铣刨下的旧沥青进行加热，掺入一定量的新沥青、混合料、再生剂等，进行热态拌合。</w:t>
            </w:r>
          </w:p>
        </w:tc>
        <w:tc>
          <w:tcPr>
            <w:tcW w:w="3919" w:type="dxa"/>
          </w:tcPr>
          <w:p w14:paraId="1CC8FD98">
            <w:r>
              <w:drawing>
                <wp:inline distT="0" distB="0" distL="0" distR="0">
                  <wp:extent cx="1962150" cy="1400175"/>
                  <wp:effectExtent l="0" t="0" r="0" b="952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35"/>
                          <a:stretch>
                            <a:fillRect/>
                          </a:stretch>
                        </pic:blipFill>
                        <pic:spPr>
                          <a:xfrm>
                            <a:off x="0" y="0"/>
                            <a:ext cx="1962150" cy="1400175"/>
                          </a:xfrm>
                          <a:prstGeom prst="rect">
                            <a:avLst/>
                          </a:prstGeom>
                        </pic:spPr>
                      </pic:pic>
                    </a:graphicData>
                  </a:graphic>
                </wp:inline>
              </w:drawing>
            </w:r>
          </w:p>
        </w:tc>
      </w:tr>
      <w:tr w14:paraId="09829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Pr>
          <w:p w14:paraId="286CADD0">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6</w:t>
            </w:r>
          </w:p>
        </w:tc>
        <w:tc>
          <w:tcPr>
            <w:tcW w:w="3560" w:type="dxa"/>
          </w:tcPr>
          <w:p w14:paraId="32409D4E">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摊铺</w:t>
            </w:r>
          </w:p>
          <w:p w14:paraId="09E968D6">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就地再生拌合料拌合完成后进行摊铺，摊铺厚度比原路面略高。</w:t>
            </w:r>
          </w:p>
        </w:tc>
        <w:tc>
          <w:tcPr>
            <w:tcW w:w="3919" w:type="dxa"/>
          </w:tcPr>
          <w:p w14:paraId="65D1A1C2">
            <w:pPr>
              <w:widowControl/>
              <w:tabs>
                <w:tab w:val="left" w:pos="720"/>
              </w:tabs>
              <w:textAlignment w:val="baseline"/>
              <w:rPr>
                <w:rFonts w:ascii="宋体" w:hAnsi="宋体" w:cs="Helvetica"/>
                <w:color w:val="060607"/>
                <w:spacing w:val="4"/>
                <w:sz w:val="24"/>
                <w:szCs w:val="24"/>
              </w:rPr>
            </w:pPr>
            <w:r>
              <w:drawing>
                <wp:inline distT="0" distB="0" distL="0" distR="0">
                  <wp:extent cx="2266950" cy="1705610"/>
                  <wp:effectExtent l="0" t="0" r="0" b="889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6"/>
                          <a:stretch>
                            <a:fillRect/>
                          </a:stretch>
                        </pic:blipFill>
                        <pic:spPr>
                          <a:xfrm>
                            <a:off x="0" y="0"/>
                            <a:ext cx="2280959" cy="1716599"/>
                          </a:xfrm>
                          <a:prstGeom prst="rect">
                            <a:avLst/>
                          </a:prstGeom>
                        </pic:spPr>
                      </pic:pic>
                    </a:graphicData>
                  </a:graphic>
                </wp:inline>
              </w:drawing>
            </w:r>
          </w:p>
        </w:tc>
      </w:tr>
      <w:tr w14:paraId="00D1E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Pr>
          <w:p w14:paraId="656B964D">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7</w:t>
            </w:r>
          </w:p>
        </w:tc>
        <w:tc>
          <w:tcPr>
            <w:tcW w:w="3560" w:type="dxa"/>
          </w:tcPr>
          <w:p w14:paraId="1031FEB7">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碾压</w:t>
            </w:r>
          </w:p>
          <w:p w14:paraId="0394E9E8">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摊铺完后用压路机及时碾压，碾压遵循先四边后中心、先静压后振压、前后左右交替碾压原则，对新旧路面接缝处，应骑缝碾压。</w:t>
            </w:r>
          </w:p>
        </w:tc>
        <w:tc>
          <w:tcPr>
            <w:tcW w:w="3919" w:type="dxa"/>
          </w:tcPr>
          <w:p w14:paraId="0582911F">
            <w:pPr>
              <w:widowControl/>
              <w:tabs>
                <w:tab w:val="left" w:pos="720"/>
              </w:tabs>
              <w:textAlignment w:val="baseline"/>
              <w:rPr>
                <w:rFonts w:ascii="宋体" w:hAnsi="宋体" w:cs="Helvetica"/>
                <w:color w:val="060607"/>
                <w:spacing w:val="4"/>
                <w:sz w:val="24"/>
                <w:szCs w:val="24"/>
              </w:rPr>
            </w:pPr>
            <w:r>
              <w:drawing>
                <wp:inline distT="0" distB="0" distL="0" distR="0">
                  <wp:extent cx="2324100" cy="1748790"/>
                  <wp:effectExtent l="0" t="0" r="0" b="381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36"/>
                          <a:stretch>
                            <a:fillRect/>
                          </a:stretch>
                        </pic:blipFill>
                        <pic:spPr>
                          <a:xfrm>
                            <a:off x="0" y="0"/>
                            <a:ext cx="2337026" cy="1758793"/>
                          </a:xfrm>
                          <a:prstGeom prst="rect">
                            <a:avLst/>
                          </a:prstGeom>
                        </pic:spPr>
                      </pic:pic>
                    </a:graphicData>
                  </a:graphic>
                </wp:inline>
              </w:drawing>
            </w:r>
          </w:p>
        </w:tc>
      </w:tr>
      <w:tr w14:paraId="4FEE2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Pr>
          <w:p w14:paraId="0988D7FD">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8</w:t>
            </w:r>
          </w:p>
        </w:tc>
        <w:tc>
          <w:tcPr>
            <w:tcW w:w="3560" w:type="dxa"/>
          </w:tcPr>
          <w:p w14:paraId="15E7B4B9">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开放交通</w:t>
            </w:r>
          </w:p>
          <w:p w14:paraId="511C269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重铺完毕，路面清理干净，集中装车运离现场。待重铺路面冷却至常温后即可开放交通。</w:t>
            </w:r>
          </w:p>
        </w:tc>
        <w:tc>
          <w:tcPr>
            <w:tcW w:w="3919" w:type="dxa"/>
          </w:tcPr>
          <w:p w14:paraId="19074446">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351405" cy="1542415"/>
                  <wp:effectExtent l="0" t="0" r="0" b="63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355250" cy="1545194"/>
                          </a:xfrm>
                          <a:prstGeom prst="rect">
                            <a:avLst/>
                          </a:prstGeom>
                          <a:noFill/>
                          <a:ln>
                            <a:noFill/>
                          </a:ln>
                        </pic:spPr>
                      </pic:pic>
                    </a:graphicData>
                  </a:graphic>
                </wp:inline>
              </w:drawing>
            </w:r>
          </w:p>
        </w:tc>
      </w:tr>
    </w:tbl>
    <w:p w14:paraId="7CDE3B50">
      <w:pPr>
        <w:pStyle w:val="4"/>
        <w:rPr>
          <w:b/>
          <w:bCs w:val="0"/>
        </w:rPr>
      </w:pPr>
      <w:r>
        <w:rPr>
          <w:b/>
          <w:bCs w:val="0"/>
        </w:rPr>
        <w:t>车辙</w:t>
      </w:r>
    </w:p>
    <w:p w14:paraId="2B54B783">
      <w:pPr>
        <w:widowControl/>
        <w:shd w:val="clear" w:color="auto" w:fill="FFFFFF"/>
        <w:tabs>
          <w:tab w:val="left" w:pos="720"/>
        </w:tabs>
        <w:ind w:firstLine="576" w:firstLineChars="200"/>
        <w:textAlignment w:val="baseline"/>
        <w:rPr>
          <w:rFonts w:ascii="宋体" w:hAnsi="宋体" w:cs="Helvetica"/>
          <w:color w:val="060607"/>
          <w:spacing w:val="4"/>
          <w:szCs w:val="28"/>
        </w:rPr>
      </w:pPr>
      <w:r>
        <w:rPr>
          <w:rFonts w:ascii="宋体" w:hAnsi="宋体" w:cs="Helvetica"/>
          <w:color w:val="060607"/>
          <w:spacing w:val="4"/>
          <w:szCs w:val="28"/>
        </w:rPr>
        <w:t>根据车辙病害类型、范围、严重程度和原因，合理确定采取局部或大范围处治、就地热再生、铣刨重铺等措施</w:t>
      </w:r>
      <w:r>
        <w:rPr>
          <w:rFonts w:hint="eastAsia" w:ascii="宋体" w:hAnsi="宋体" w:cs="Helvetica"/>
          <w:color w:val="060607"/>
          <w:spacing w:val="4"/>
          <w:szCs w:val="28"/>
        </w:rPr>
        <w:t>，参见5</w:t>
      </w:r>
      <w:r>
        <w:rPr>
          <w:rFonts w:ascii="宋体" w:hAnsi="宋体" w:cs="Helvetica"/>
          <w:color w:val="060607"/>
          <w:spacing w:val="4"/>
          <w:szCs w:val="28"/>
        </w:rPr>
        <w:t>.2.2</w:t>
      </w:r>
      <w:r>
        <w:rPr>
          <w:rFonts w:hint="eastAsia" w:ascii="宋体" w:hAnsi="宋体" w:cs="Helvetica"/>
          <w:color w:val="060607"/>
          <w:spacing w:val="4"/>
          <w:szCs w:val="28"/>
        </w:rPr>
        <w:t>。</w:t>
      </w:r>
    </w:p>
    <w:p w14:paraId="731EAAC0">
      <w:pPr>
        <w:pStyle w:val="4"/>
        <w:rPr>
          <w:b/>
          <w:bCs w:val="0"/>
        </w:rPr>
      </w:pPr>
      <w:r>
        <w:rPr>
          <w:b/>
          <w:bCs w:val="0"/>
        </w:rPr>
        <w:t>沉陷</w:t>
      </w:r>
    </w:p>
    <w:p w14:paraId="089E162D">
      <w:pPr>
        <w:widowControl/>
        <w:shd w:val="clear" w:color="auto" w:fill="FFFFFF"/>
        <w:tabs>
          <w:tab w:val="left" w:pos="720"/>
        </w:tabs>
        <w:ind w:firstLine="576" w:firstLineChars="200"/>
        <w:textAlignment w:val="baseline"/>
        <w:rPr>
          <w:rFonts w:ascii="宋体" w:hAnsi="宋体" w:cs="Helvetica"/>
          <w:color w:val="060607"/>
          <w:spacing w:val="4"/>
          <w:szCs w:val="28"/>
        </w:rPr>
      </w:pPr>
      <w:r>
        <w:rPr>
          <w:rFonts w:ascii="宋体" w:hAnsi="宋体" w:cs="Helvetica"/>
          <w:color w:val="060607"/>
          <w:spacing w:val="4"/>
          <w:szCs w:val="28"/>
        </w:rPr>
        <w:t>根据沉陷类型、发生部位、严重程度和原因，合理确定维修技术措施和结构层位。</w:t>
      </w:r>
    </w:p>
    <w:p w14:paraId="242AACDD">
      <w:pPr>
        <w:widowControl/>
        <w:shd w:val="clear" w:color="auto" w:fill="FFFFFF"/>
        <w:tabs>
          <w:tab w:val="left" w:pos="720"/>
        </w:tabs>
        <w:ind w:firstLine="576" w:firstLineChars="200"/>
        <w:textAlignment w:val="baseline"/>
        <w:rPr>
          <w:rFonts w:ascii="宋体" w:hAnsi="宋体" w:cs="Helvetica"/>
          <w:color w:val="060607"/>
          <w:spacing w:val="4"/>
          <w:szCs w:val="28"/>
        </w:rPr>
      </w:pPr>
      <w:r>
        <w:rPr>
          <w:rFonts w:hint="eastAsia" w:ascii="宋体" w:hAnsi="宋体" w:cs="Helvetica"/>
          <w:color w:val="060607"/>
          <w:spacing w:val="4"/>
          <w:szCs w:val="28"/>
        </w:rPr>
        <w:t>基层</w:t>
      </w:r>
      <w:r>
        <w:rPr>
          <w:rFonts w:ascii="宋体" w:hAnsi="宋体" w:cs="Helvetica"/>
          <w:color w:val="060607"/>
          <w:spacing w:val="4"/>
          <w:szCs w:val="28"/>
        </w:rPr>
        <w:t>不均匀沉降引起的沉陷</w:t>
      </w:r>
      <w:r>
        <w:rPr>
          <w:rFonts w:hint="eastAsia" w:ascii="宋体" w:hAnsi="宋体" w:cs="Helvetica"/>
          <w:color w:val="060607"/>
          <w:spacing w:val="4"/>
          <w:szCs w:val="28"/>
        </w:rPr>
        <w:t>，若基层已密实稳定，只需对路面进行铣刨重铺，参见5</w:t>
      </w:r>
      <w:r>
        <w:rPr>
          <w:rFonts w:ascii="宋体" w:hAnsi="宋体" w:cs="Helvetica"/>
          <w:color w:val="060607"/>
          <w:spacing w:val="4"/>
          <w:szCs w:val="28"/>
        </w:rPr>
        <w:t>.2.2</w:t>
      </w:r>
      <w:r>
        <w:rPr>
          <w:rFonts w:hint="eastAsia" w:ascii="宋体" w:hAnsi="宋体" w:cs="Helvetica"/>
          <w:color w:val="060607"/>
          <w:spacing w:val="4"/>
          <w:szCs w:val="28"/>
        </w:rPr>
        <w:t>。</w:t>
      </w:r>
    </w:p>
    <w:p w14:paraId="4957509E">
      <w:pPr>
        <w:widowControl/>
        <w:shd w:val="clear" w:color="auto" w:fill="FFFFFF"/>
        <w:tabs>
          <w:tab w:val="left" w:pos="720"/>
        </w:tabs>
        <w:ind w:firstLine="576" w:firstLineChars="200"/>
        <w:textAlignment w:val="baseline"/>
        <w:rPr>
          <w:rFonts w:ascii="宋体" w:hAnsi="宋体" w:cs="Helvetica"/>
          <w:color w:val="060607"/>
          <w:spacing w:val="4"/>
          <w:szCs w:val="28"/>
        </w:rPr>
      </w:pPr>
      <w:r>
        <w:rPr>
          <w:rFonts w:hint="eastAsia" w:ascii="宋体" w:hAnsi="宋体" w:cs="Helvetica"/>
          <w:color w:val="060607"/>
          <w:spacing w:val="4"/>
          <w:szCs w:val="28"/>
        </w:rPr>
        <w:t>若基层结构破坏引起的沉陷，应处治好基层再重做路面层。</w:t>
      </w:r>
    </w:p>
    <w:p w14:paraId="78D00B4C">
      <w:pPr>
        <w:widowControl/>
        <w:shd w:val="clear" w:color="auto" w:fill="FFFFFF"/>
        <w:tabs>
          <w:tab w:val="left" w:pos="720"/>
        </w:tabs>
        <w:textAlignment w:val="baseline"/>
        <w:rPr>
          <w:rFonts w:ascii="宋体" w:hAnsi="宋体" w:cs="Helvetica"/>
          <w:b/>
          <w:bCs/>
          <w:color w:val="060607"/>
          <w:spacing w:val="4"/>
          <w:szCs w:val="28"/>
        </w:rPr>
      </w:pPr>
      <w:r>
        <w:rPr>
          <w:rFonts w:hint="eastAsia" w:ascii="宋体" w:hAnsi="宋体" w:cs="Helvetica"/>
          <w:b/>
          <w:bCs/>
          <w:color w:val="060607"/>
          <w:spacing w:val="4"/>
          <w:szCs w:val="28"/>
        </w:rPr>
        <w:t>严重沉陷</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9"/>
        <w:gridCol w:w="4317"/>
        <w:gridCol w:w="3256"/>
      </w:tblGrid>
      <w:tr w14:paraId="50366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04ED3FE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序号</w:t>
            </w:r>
          </w:p>
        </w:tc>
        <w:tc>
          <w:tcPr>
            <w:tcW w:w="4542" w:type="dxa"/>
          </w:tcPr>
          <w:p w14:paraId="3ACF44B8">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步骤</w:t>
            </w:r>
          </w:p>
        </w:tc>
        <w:tc>
          <w:tcPr>
            <w:tcW w:w="2766" w:type="dxa"/>
          </w:tcPr>
          <w:p w14:paraId="4F0D309D">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图例</w:t>
            </w:r>
          </w:p>
        </w:tc>
      </w:tr>
      <w:tr w14:paraId="71FDF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5FC424E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1</w:t>
            </w:r>
          </w:p>
        </w:tc>
        <w:tc>
          <w:tcPr>
            <w:tcW w:w="4542" w:type="dxa"/>
          </w:tcPr>
          <w:p w14:paraId="5F7E47A6">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现场安全文明施工组织</w:t>
            </w:r>
          </w:p>
          <w:p w14:paraId="0A48689D">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布置施工现场，人员穿着反光标志服，设置警示标识，合理安排交通管制措施。</w:t>
            </w:r>
          </w:p>
        </w:tc>
        <w:tc>
          <w:tcPr>
            <w:tcW w:w="2766" w:type="dxa"/>
          </w:tcPr>
          <w:p w14:paraId="23FB409F">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854200" cy="139065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885278" cy="1414092"/>
                          </a:xfrm>
                          <a:prstGeom prst="rect">
                            <a:avLst/>
                          </a:prstGeom>
                          <a:noFill/>
                          <a:ln>
                            <a:noFill/>
                          </a:ln>
                        </pic:spPr>
                      </pic:pic>
                    </a:graphicData>
                  </a:graphic>
                </wp:inline>
              </w:drawing>
            </w:r>
          </w:p>
        </w:tc>
      </w:tr>
      <w:tr w14:paraId="5220C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2AE8EE92">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2</w:t>
            </w:r>
          </w:p>
        </w:tc>
        <w:tc>
          <w:tcPr>
            <w:tcW w:w="4542" w:type="dxa"/>
          </w:tcPr>
          <w:p w14:paraId="5CC43D72">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确定处治范围</w:t>
            </w:r>
          </w:p>
          <w:p w14:paraId="613A445D">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病害处治面积一般沿病害四周向外扩大1</w:t>
            </w:r>
            <w:r>
              <w:rPr>
                <w:rFonts w:ascii="宋体" w:hAnsi="宋体" w:cs="Helvetica"/>
                <w:color w:val="060607"/>
                <w:spacing w:val="4"/>
                <w:sz w:val="24"/>
                <w:szCs w:val="24"/>
              </w:rPr>
              <w:t>00</w:t>
            </w:r>
            <w:r>
              <w:rPr>
                <w:rFonts w:hint="eastAsia" w:ascii="宋体" w:hAnsi="宋体" w:cs="Helvetica"/>
                <w:color w:val="060607"/>
                <w:spacing w:val="4"/>
                <w:sz w:val="24"/>
                <w:szCs w:val="24"/>
              </w:rPr>
              <w:t>mm以上的方形范围。</w:t>
            </w:r>
          </w:p>
        </w:tc>
        <w:tc>
          <w:tcPr>
            <w:tcW w:w="2766" w:type="dxa"/>
          </w:tcPr>
          <w:p w14:paraId="6C9A02FE">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05000" cy="1424940"/>
                  <wp:effectExtent l="0" t="0" r="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946050" cy="1456093"/>
                          </a:xfrm>
                          <a:prstGeom prst="rect">
                            <a:avLst/>
                          </a:prstGeom>
                          <a:noFill/>
                          <a:ln>
                            <a:noFill/>
                          </a:ln>
                        </pic:spPr>
                      </pic:pic>
                    </a:graphicData>
                  </a:graphic>
                </wp:inline>
              </w:drawing>
            </w:r>
          </w:p>
        </w:tc>
      </w:tr>
      <w:tr w14:paraId="74271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4726449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3</w:t>
            </w:r>
          </w:p>
        </w:tc>
        <w:tc>
          <w:tcPr>
            <w:tcW w:w="4542" w:type="dxa"/>
          </w:tcPr>
          <w:p w14:paraId="1FC1470C">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挖除结构层</w:t>
            </w:r>
          </w:p>
          <w:p w14:paraId="03BC7876">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挖除路面层，继续挖除破损基层</w:t>
            </w:r>
          </w:p>
        </w:tc>
        <w:tc>
          <w:tcPr>
            <w:tcW w:w="2766" w:type="dxa"/>
          </w:tcPr>
          <w:p w14:paraId="0DCE59DE">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897380" cy="1423035"/>
                  <wp:effectExtent l="0" t="0" r="7620"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918743" cy="1439193"/>
                          </a:xfrm>
                          <a:prstGeom prst="rect">
                            <a:avLst/>
                          </a:prstGeom>
                          <a:noFill/>
                          <a:ln>
                            <a:noFill/>
                          </a:ln>
                        </pic:spPr>
                      </pic:pic>
                    </a:graphicData>
                  </a:graphic>
                </wp:inline>
              </w:drawing>
            </w:r>
          </w:p>
        </w:tc>
      </w:tr>
      <w:tr w14:paraId="37208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33A87FC">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4</w:t>
            </w:r>
          </w:p>
        </w:tc>
        <w:tc>
          <w:tcPr>
            <w:tcW w:w="4542" w:type="dxa"/>
          </w:tcPr>
          <w:p w14:paraId="7F1FCC8A">
            <w:pPr>
              <w:rPr>
                <w:rFonts w:ascii="宋体" w:hAnsi="宋体" w:cs="Helvetica"/>
                <w:b/>
                <w:bCs/>
                <w:color w:val="060607"/>
                <w:spacing w:val="4"/>
                <w:sz w:val="24"/>
                <w:szCs w:val="24"/>
              </w:rPr>
            </w:pPr>
            <w:r>
              <w:rPr>
                <w:rFonts w:hint="eastAsia" w:ascii="宋体" w:hAnsi="宋体" w:cs="Helvetica"/>
                <w:b/>
                <w:bCs/>
                <w:color w:val="060607"/>
                <w:spacing w:val="4"/>
                <w:sz w:val="24"/>
                <w:szCs w:val="24"/>
              </w:rPr>
              <w:t>基层处理</w:t>
            </w:r>
          </w:p>
          <w:p w14:paraId="5FC6CBB0">
            <w:pPr>
              <w:rPr>
                <w:rFonts w:ascii="宋体" w:hAnsi="宋体" w:cs="Helvetica"/>
                <w:color w:val="060607"/>
                <w:spacing w:val="4"/>
                <w:sz w:val="24"/>
                <w:szCs w:val="24"/>
              </w:rPr>
            </w:pPr>
            <w:r>
              <w:rPr>
                <w:rFonts w:hint="eastAsia" w:ascii="宋体" w:hAnsi="宋体" w:cs="Helvetica"/>
                <w:color w:val="060607"/>
                <w:spacing w:val="4"/>
                <w:sz w:val="24"/>
                <w:szCs w:val="24"/>
              </w:rPr>
              <w:t>对基层进行重新施工（换填、回填），保证与原基层强度要求一致。</w:t>
            </w:r>
          </w:p>
        </w:tc>
        <w:tc>
          <w:tcPr>
            <w:tcW w:w="2766" w:type="dxa"/>
          </w:tcPr>
          <w:p w14:paraId="586787B8">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876425" cy="1405255"/>
                  <wp:effectExtent l="0" t="0" r="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888401" cy="1414664"/>
                          </a:xfrm>
                          <a:prstGeom prst="rect">
                            <a:avLst/>
                          </a:prstGeom>
                          <a:noFill/>
                          <a:ln>
                            <a:noFill/>
                          </a:ln>
                        </pic:spPr>
                      </pic:pic>
                    </a:graphicData>
                  </a:graphic>
                </wp:inline>
              </w:drawing>
            </w:r>
          </w:p>
        </w:tc>
      </w:tr>
      <w:tr w14:paraId="50996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56375064">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5</w:t>
            </w:r>
          </w:p>
        </w:tc>
        <w:tc>
          <w:tcPr>
            <w:tcW w:w="4542" w:type="dxa"/>
          </w:tcPr>
          <w:p w14:paraId="20A25BAE">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涂刷粘层油</w:t>
            </w:r>
          </w:p>
          <w:p w14:paraId="0AE5FC03">
            <w:pPr>
              <w:rPr>
                <w:rFonts w:ascii="宋体" w:hAnsi="宋体" w:cs="Helvetica"/>
                <w:b/>
                <w:bCs/>
                <w:color w:val="060607"/>
                <w:spacing w:val="4"/>
                <w:sz w:val="24"/>
                <w:szCs w:val="24"/>
              </w:rPr>
            </w:pPr>
            <w:r>
              <w:rPr>
                <w:rFonts w:hint="eastAsia" w:ascii="宋体" w:hAnsi="宋体" w:cs="Helvetica"/>
                <w:color w:val="060607"/>
                <w:spacing w:val="4"/>
                <w:sz w:val="24"/>
                <w:szCs w:val="24"/>
              </w:rPr>
              <w:t>基层达到施工强度后，在界面涂刷热沥青粘层油，用量一般在0</w:t>
            </w:r>
            <w:r>
              <w:rPr>
                <w:rFonts w:ascii="宋体" w:hAnsi="宋体" w:cs="Helvetica"/>
                <w:color w:val="060607"/>
                <w:spacing w:val="4"/>
                <w:sz w:val="24"/>
                <w:szCs w:val="24"/>
              </w:rPr>
              <w:t>.3</w:t>
            </w:r>
            <w:r>
              <w:rPr>
                <w:rFonts w:cs="Times New Roman"/>
                <w:color w:val="060607"/>
                <w:spacing w:val="4"/>
                <w:sz w:val="24"/>
                <w:szCs w:val="24"/>
              </w:rPr>
              <w:t>~</w:t>
            </w:r>
            <w:r>
              <w:rPr>
                <w:rFonts w:ascii="宋体" w:hAnsi="宋体" w:cs="Helvetica"/>
                <w:color w:val="060607"/>
                <w:spacing w:val="4"/>
                <w:sz w:val="24"/>
                <w:szCs w:val="24"/>
              </w:rPr>
              <w:t>0.6l/m</w:t>
            </w:r>
            <w:r>
              <w:rPr>
                <w:rFonts w:ascii="宋体" w:hAnsi="宋体" w:cs="Helvetica"/>
                <w:color w:val="060607"/>
                <w:spacing w:val="4"/>
                <w:sz w:val="24"/>
                <w:szCs w:val="24"/>
                <w:vertAlign w:val="superscript"/>
              </w:rPr>
              <w:t>2</w:t>
            </w:r>
            <w:r>
              <w:rPr>
                <w:rFonts w:hint="eastAsia" w:ascii="宋体" w:hAnsi="宋体" w:cs="Helvetica"/>
                <w:color w:val="060607"/>
                <w:spacing w:val="4"/>
                <w:sz w:val="24"/>
                <w:szCs w:val="24"/>
              </w:rPr>
              <w:t>左右，尽量涂刷均匀。</w:t>
            </w:r>
          </w:p>
        </w:tc>
        <w:tc>
          <w:tcPr>
            <w:tcW w:w="2766" w:type="dxa"/>
          </w:tcPr>
          <w:p w14:paraId="7CE13C5B">
            <w:pPr>
              <w:widowControl/>
              <w:tabs>
                <w:tab w:val="left" w:pos="720"/>
              </w:tabs>
              <w:textAlignment w:val="baseline"/>
              <w:rPr>
                <w:rFonts w:ascii="宋体" w:hAnsi="宋体" w:cs="Helvetica"/>
                <w:color w:val="060607"/>
                <w:spacing w:val="4"/>
                <w:sz w:val="24"/>
                <w:szCs w:val="24"/>
              </w:rPr>
            </w:pPr>
            <w:r>
              <w:drawing>
                <wp:inline distT="0" distB="0" distL="0" distR="0">
                  <wp:extent cx="1860550" cy="1860550"/>
                  <wp:effectExtent l="0" t="0" r="635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873683" cy="1873683"/>
                          </a:xfrm>
                          <a:prstGeom prst="rect">
                            <a:avLst/>
                          </a:prstGeom>
                          <a:noFill/>
                          <a:ln>
                            <a:noFill/>
                          </a:ln>
                        </pic:spPr>
                      </pic:pic>
                    </a:graphicData>
                  </a:graphic>
                </wp:inline>
              </w:drawing>
            </w:r>
          </w:p>
        </w:tc>
      </w:tr>
      <w:tr w14:paraId="08100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226233A2">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6</w:t>
            </w:r>
          </w:p>
        </w:tc>
        <w:tc>
          <w:tcPr>
            <w:tcW w:w="4542" w:type="dxa"/>
          </w:tcPr>
          <w:p w14:paraId="2C86200B">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拌合摊铺</w:t>
            </w:r>
          </w:p>
          <w:p w14:paraId="35B3E3C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对沥青混合料进行加热拌合，达到规定温度是进行摊铺作业，摊铺厚度比原路面略高。</w:t>
            </w:r>
          </w:p>
        </w:tc>
        <w:tc>
          <w:tcPr>
            <w:tcW w:w="2766" w:type="dxa"/>
          </w:tcPr>
          <w:p w14:paraId="30085DBD">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884045" cy="1411605"/>
                  <wp:effectExtent l="0" t="0" r="190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916730" cy="1435885"/>
                          </a:xfrm>
                          <a:prstGeom prst="rect">
                            <a:avLst/>
                          </a:prstGeom>
                          <a:noFill/>
                          <a:ln>
                            <a:noFill/>
                          </a:ln>
                        </pic:spPr>
                      </pic:pic>
                    </a:graphicData>
                  </a:graphic>
                </wp:inline>
              </w:drawing>
            </w:r>
          </w:p>
        </w:tc>
      </w:tr>
      <w:tr w14:paraId="2FA36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0FA31DA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7</w:t>
            </w:r>
          </w:p>
        </w:tc>
        <w:tc>
          <w:tcPr>
            <w:tcW w:w="4542" w:type="dxa"/>
          </w:tcPr>
          <w:p w14:paraId="479A7AD7">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碾压</w:t>
            </w:r>
          </w:p>
          <w:p w14:paraId="23855B7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摊铺完后用压路机及时碾压，碾压遵循先四边后中心、先静压后振压、前后左右交替碾压原则，对新旧路面接缝处，应骑缝碾压。</w:t>
            </w:r>
          </w:p>
        </w:tc>
        <w:tc>
          <w:tcPr>
            <w:tcW w:w="2766" w:type="dxa"/>
          </w:tcPr>
          <w:p w14:paraId="12ED61EE">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19605" cy="1438275"/>
                  <wp:effectExtent l="0" t="0" r="444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1953282" cy="1463268"/>
                          </a:xfrm>
                          <a:prstGeom prst="rect">
                            <a:avLst/>
                          </a:prstGeom>
                          <a:noFill/>
                          <a:ln>
                            <a:noFill/>
                          </a:ln>
                        </pic:spPr>
                      </pic:pic>
                    </a:graphicData>
                  </a:graphic>
                </wp:inline>
              </w:drawing>
            </w:r>
          </w:p>
        </w:tc>
      </w:tr>
      <w:tr w14:paraId="09DE9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3380827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8</w:t>
            </w:r>
          </w:p>
        </w:tc>
        <w:tc>
          <w:tcPr>
            <w:tcW w:w="4542" w:type="dxa"/>
          </w:tcPr>
          <w:p w14:paraId="2E137333">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开放交通</w:t>
            </w:r>
          </w:p>
          <w:p w14:paraId="3C1C8CD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重铺完毕，路面清理干净，集中装车运离现场。待重铺路面冷却至常温后即可开放交通。</w:t>
            </w:r>
          </w:p>
        </w:tc>
        <w:tc>
          <w:tcPr>
            <w:tcW w:w="2766" w:type="dxa"/>
          </w:tcPr>
          <w:p w14:paraId="6B13AD4E">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30400" cy="1445895"/>
                  <wp:effectExtent l="0" t="0" r="0" b="19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953407" cy="1463362"/>
                          </a:xfrm>
                          <a:prstGeom prst="rect">
                            <a:avLst/>
                          </a:prstGeom>
                          <a:noFill/>
                          <a:ln>
                            <a:noFill/>
                          </a:ln>
                        </pic:spPr>
                      </pic:pic>
                    </a:graphicData>
                  </a:graphic>
                </wp:inline>
              </w:drawing>
            </w:r>
          </w:p>
        </w:tc>
      </w:tr>
    </w:tbl>
    <w:p w14:paraId="40EE70E1">
      <w:pPr>
        <w:widowControl/>
        <w:shd w:val="clear" w:color="auto" w:fill="FFFFFF"/>
        <w:textAlignment w:val="baseline"/>
        <w:rPr>
          <w:rFonts w:ascii="宋体" w:hAnsi="宋体" w:cs="Helvetica"/>
          <w:color w:val="060607"/>
          <w:spacing w:val="4"/>
          <w:szCs w:val="28"/>
        </w:rPr>
      </w:pPr>
    </w:p>
    <w:p w14:paraId="12E81501">
      <w:pPr>
        <w:pStyle w:val="4"/>
        <w:rPr>
          <w:b/>
          <w:bCs w:val="0"/>
        </w:rPr>
      </w:pPr>
      <w:r>
        <w:rPr>
          <w:b/>
          <w:bCs w:val="0"/>
        </w:rPr>
        <w:t>剥落</w:t>
      </w:r>
    </w:p>
    <w:p w14:paraId="25D7A206">
      <w:pPr>
        <w:widowControl/>
        <w:numPr>
          <w:ilvl w:val="0"/>
          <w:numId w:val="8"/>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已成松散状态的面层，应将松散部分全部挖除，重铺面层，或应按0.8kg/m²</w:t>
      </w:r>
      <w:r>
        <w:rPr>
          <w:rFonts w:cs="Times New Roman"/>
          <w:color w:val="060607"/>
          <w:spacing w:val="4"/>
          <w:szCs w:val="28"/>
        </w:rPr>
        <w:t>~</w:t>
      </w:r>
      <w:r>
        <w:rPr>
          <w:rFonts w:ascii="宋体" w:hAnsi="宋体" w:cs="Helvetica"/>
          <w:color w:val="060607"/>
          <w:spacing w:val="4"/>
          <w:szCs w:val="28"/>
        </w:rPr>
        <w:t>1.0kg/m²的用量喷洒沥青，撒布石屑或粗砂进行处治。</w:t>
      </w:r>
    </w:p>
    <w:p w14:paraId="3D0952A7">
      <w:pPr>
        <w:widowControl/>
        <w:numPr>
          <w:ilvl w:val="0"/>
          <w:numId w:val="8"/>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沥青面层因不贫油出现的轻微麻面，可在高温季节撒布适当的沥青嵌缝料处治。</w:t>
      </w:r>
    </w:p>
    <w:p w14:paraId="20574B9A">
      <w:pPr>
        <w:widowControl/>
        <w:numPr>
          <w:ilvl w:val="0"/>
          <w:numId w:val="8"/>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大面积麻面应喷洒沥青，并应撒布适当粒径的嵌缝料处治，或重设面层。</w:t>
      </w:r>
    </w:p>
    <w:p w14:paraId="6C0DB877">
      <w:pPr>
        <w:widowControl/>
        <w:numPr>
          <w:ilvl w:val="0"/>
          <w:numId w:val="8"/>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封层的脱皮，应清除已脱落和松动的部分，再重新做上封层。</w:t>
      </w:r>
    </w:p>
    <w:p w14:paraId="21CF4C91">
      <w:pPr>
        <w:widowControl/>
        <w:numPr>
          <w:ilvl w:val="0"/>
          <w:numId w:val="8"/>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沥青面层层间产生脱皮，应将脱落及松动部分清除，在下层沥青面上涂刷粘层油，并应重铺沥青层。</w:t>
      </w:r>
    </w:p>
    <w:p w14:paraId="0CCF701C"/>
    <w:p w14:paraId="07226A6A">
      <w:pPr>
        <w:pStyle w:val="4"/>
        <w:rPr>
          <w:b/>
          <w:bCs w:val="0"/>
        </w:rPr>
      </w:pPr>
      <w:r>
        <w:rPr>
          <w:b/>
          <w:bCs w:val="0"/>
        </w:rPr>
        <w:t>坑槽</w:t>
      </w:r>
    </w:p>
    <w:p w14:paraId="635B4C9D">
      <w:pPr>
        <w:ind w:firstLine="560" w:firstLineChars="200"/>
      </w:pPr>
      <w:r>
        <w:rPr>
          <w:rFonts w:hint="eastAsia"/>
        </w:rPr>
        <w:t>当坑槽范围小，路面结构稳定，可采用人工进行局部挖补。</w:t>
      </w:r>
    </w:p>
    <w:p w14:paraId="6013480B">
      <w:pPr>
        <w:ind w:firstLine="560" w:firstLineChars="200"/>
      </w:pPr>
      <w:r>
        <w:rPr>
          <w:rFonts w:hint="eastAsia"/>
        </w:rPr>
        <w:t>当路面出现大面积坑槽病害时，应采用铣刨机铣刨路面，重新铺筑面层。</w:t>
      </w:r>
    </w:p>
    <w:p w14:paraId="5C19ABB0">
      <w:pPr>
        <w:rPr>
          <w:b/>
          <w:bCs/>
        </w:rPr>
      </w:pPr>
      <w:r>
        <w:rPr>
          <w:rFonts w:hint="eastAsia"/>
          <w:b/>
          <w:bCs/>
        </w:rPr>
        <w:t>局部挖补</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7"/>
        <w:gridCol w:w="4249"/>
        <w:gridCol w:w="3336"/>
      </w:tblGrid>
      <w:tr w14:paraId="35D52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2ECEE400">
            <w:pPr>
              <w:widowControl/>
              <w:tabs>
                <w:tab w:val="left" w:pos="720"/>
              </w:tabs>
              <w:textAlignment w:val="baseline"/>
              <w:rPr>
                <w:rFonts w:ascii="宋体" w:hAnsi="宋体" w:cs="Helvetica"/>
                <w:color w:val="060607"/>
                <w:spacing w:val="4"/>
                <w:sz w:val="24"/>
                <w:szCs w:val="24"/>
              </w:rPr>
            </w:pPr>
            <w:bookmarkStart w:id="49" w:name="OLE_LINK1"/>
            <w:r>
              <w:rPr>
                <w:rFonts w:hint="eastAsia" w:ascii="宋体" w:hAnsi="宋体" w:cs="Helvetica"/>
                <w:color w:val="060607"/>
                <w:spacing w:val="4"/>
                <w:sz w:val="24"/>
                <w:szCs w:val="24"/>
              </w:rPr>
              <w:t>序号</w:t>
            </w:r>
          </w:p>
        </w:tc>
        <w:tc>
          <w:tcPr>
            <w:tcW w:w="4542" w:type="dxa"/>
          </w:tcPr>
          <w:p w14:paraId="250E342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步骤</w:t>
            </w:r>
          </w:p>
        </w:tc>
        <w:tc>
          <w:tcPr>
            <w:tcW w:w="2766" w:type="dxa"/>
          </w:tcPr>
          <w:p w14:paraId="0AFBF35B">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图例</w:t>
            </w:r>
          </w:p>
        </w:tc>
      </w:tr>
      <w:tr w14:paraId="40026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7B79C09C">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1</w:t>
            </w:r>
          </w:p>
        </w:tc>
        <w:tc>
          <w:tcPr>
            <w:tcW w:w="4542" w:type="dxa"/>
          </w:tcPr>
          <w:p w14:paraId="536F1FC6">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现场安全文明施工组织</w:t>
            </w:r>
          </w:p>
          <w:p w14:paraId="3E3CFB38">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布置施工现场，人员穿着反光标志服，设置警示标识，合理安排交通管制措施。</w:t>
            </w:r>
          </w:p>
        </w:tc>
        <w:tc>
          <w:tcPr>
            <w:tcW w:w="2766" w:type="dxa"/>
          </w:tcPr>
          <w:p w14:paraId="3DC168F5">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24050" cy="1442720"/>
                  <wp:effectExtent l="0" t="0" r="0" b="508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962513" cy="1472025"/>
                          </a:xfrm>
                          <a:prstGeom prst="rect">
                            <a:avLst/>
                          </a:prstGeom>
                          <a:noFill/>
                          <a:ln>
                            <a:noFill/>
                          </a:ln>
                        </pic:spPr>
                      </pic:pic>
                    </a:graphicData>
                  </a:graphic>
                </wp:inline>
              </w:drawing>
            </w:r>
          </w:p>
        </w:tc>
      </w:tr>
      <w:tr w14:paraId="020F2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72650AB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2</w:t>
            </w:r>
          </w:p>
        </w:tc>
        <w:tc>
          <w:tcPr>
            <w:tcW w:w="4542" w:type="dxa"/>
          </w:tcPr>
          <w:p w14:paraId="6B20809B">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确定处治范围</w:t>
            </w:r>
          </w:p>
          <w:p w14:paraId="4949F446">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病害处治面积一般沿病害四周向外扩大1</w:t>
            </w:r>
            <w:r>
              <w:rPr>
                <w:rFonts w:ascii="宋体" w:hAnsi="宋体" w:cs="Helvetica"/>
                <w:color w:val="060607"/>
                <w:spacing w:val="4"/>
                <w:sz w:val="24"/>
                <w:szCs w:val="24"/>
              </w:rPr>
              <w:t>00</w:t>
            </w:r>
            <w:r>
              <w:rPr>
                <w:rFonts w:hint="eastAsia" w:ascii="宋体" w:hAnsi="宋体" w:cs="Helvetica"/>
                <w:color w:val="060607"/>
                <w:spacing w:val="4"/>
                <w:sz w:val="24"/>
                <w:szCs w:val="24"/>
              </w:rPr>
              <w:t>mm以上的方形范围。</w:t>
            </w:r>
          </w:p>
        </w:tc>
        <w:tc>
          <w:tcPr>
            <w:tcW w:w="2766" w:type="dxa"/>
          </w:tcPr>
          <w:p w14:paraId="14F88E0F">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899920" cy="1758315"/>
                  <wp:effectExtent l="0" t="0" r="508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1920520" cy="1777473"/>
                          </a:xfrm>
                          <a:prstGeom prst="rect">
                            <a:avLst/>
                          </a:prstGeom>
                          <a:noFill/>
                          <a:ln>
                            <a:noFill/>
                          </a:ln>
                        </pic:spPr>
                      </pic:pic>
                    </a:graphicData>
                  </a:graphic>
                </wp:inline>
              </w:drawing>
            </w:r>
          </w:p>
        </w:tc>
      </w:tr>
      <w:tr w14:paraId="73DC6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BDF698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3</w:t>
            </w:r>
          </w:p>
        </w:tc>
        <w:tc>
          <w:tcPr>
            <w:tcW w:w="4542" w:type="dxa"/>
          </w:tcPr>
          <w:p w14:paraId="07F2803D">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路面切割</w:t>
            </w:r>
          </w:p>
          <w:p w14:paraId="6BD5E2F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用切缝机对确定好的处治范围标线切割，禁止直接凿除。切割深度根据路面厚度确定，不小于3</w:t>
            </w:r>
            <w:r>
              <w:rPr>
                <w:rFonts w:ascii="宋体" w:hAnsi="宋体" w:cs="Helvetica"/>
                <w:color w:val="060607"/>
                <w:spacing w:val="4"/>
                <w:sz w:val="24"/>
                <w:szCs w:val="24"/>
              </w:rPr>
              <w:t>cm</w:t>
            </w:r>
            <w:r>
              <w:rPr>
                <w:rFonts w:hint="eastAsia" w:ascii="宋体" w:hAnsi="宋体" w:cs="Helvetica"/>
                <w:color w:val="060607"/>
                <w:spacing w:val="4"/>
                <w:sz w:val="24"/>
                <w:szCs w:val="24"/>
              </w:rPr>
              <w:t>。</w:t>
            </w:r>
          </w:p>
        </w:tc>
        <w:tc>
          <w:tcPr>
            <w:tcW w:w="2766" w:type="dxa"/>
          </w:tcPr>
          <w:p w14:paraId="7717C392">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23415" cy="1438275"/>
                  <wp:effectExtent l="0" t="0" r="63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955491" cy="1461911"/>
                          </a:xfrm>
                          <a:prstGeom prst="rect">
                            <a:avLst/>
                          </a:prstGeom>
                          <a:noFill/>
                          <a:ln>
                            <a:noFill/>
                          </a:ln>
                        </pic:spPr>
                      </pic:pic>
                    </a:graphicData>
                  </a:graphic>
                </wp:inline>
              </w:drawing>
            </w:r>
          </w:p>
        </w:tc>
      </w:tr>
      <w:tr w14:paraId="45DB4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56A1C32E">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4</w:t>
            </w:r>
          </w:p>
        </w:tc>
        <w:tc>
          <w:tcPr>
            <w:tcW w:w="4542" w:type="dxa"/>
          </w:tcPr>
          <w:p w14:paraId="50C71904">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凿除路面</w:t>
            </w:r>
          </w:p>
          <w:p w14:paraId="487BE3A3">
            <w:pPr>
              <w:rPr>
                <w:rFonts w:ascii="宋体" w:hAnsi="宋体" w:cs="Helvetica"/>
                <w:color w:val="060607"/>
                <w:spacing w:val="4"/>
                <w:sz w:val="24"/>
                <w:szCs w:val="24"/>
              </w:rPr>
            </w:pPr>
            <w:r>
              <w:rPr>
                <w:rFonts w:hint="eastAsia" w:ascii="宋体" w:hAnsi="宋体" w:cs="Helvetica"/>
                <w:color w:val="060607"/>
                <w:spacing w:val="4"/>
                <w:sz w:val="24"/>
                <w:szCs w:val="24"/>
              </w:rPr>
              <w:t>对切割好处治范围内的路面进行凿除。凿除时应距离切缝5</w:t>
            </w:r>
            <w:r>
              <w:rPr>
                <w:rFonts w:ascii="宋体" w:hAnsi="宋体" w:cs="Helvetica"/>
                <w:color w:val="060607"/>
                <w:spacing w:val="4"/>
                <w:sz w:val="24"/>
                <w:szCs w:val="24"/>
              </w:rPr>
              <w:t>0mm</w:t>
            </w:r>
            <w:r>
              <w:rPr>
                <w:rFonts w:hint="eastAsia" w:ascii="宋体" w:hAnsi="宋体" w:cs="Helvetica"/>
                <w:color w:val="060607"/>
                <w:spacing w:val="4"/>
                <w:sz w:val="24"/>
                <w:szCs w:val="24"/>
              </w:rPr>
              <w:t>左右项中间凿除，深度不少于坑槽深度。粘接层或封层一并凿除。</w:t>
            </w:r>
          </w:p>
        </w:tc>
        <w:tc>
          <w:tcPr>
            <w:tcW w:w="2766" w:type="dxa"/>
          </w:tcPr>
          <w:p w14:paraId="5C4E9709">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31670" cy="153035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8">
                            <a:extLst>
                              <a:ext uri="{28A0092B-C50C-407E-A947-70E740481C1C}">
                                <a14:useLocalDpi xmlns:a14="http://schemas.microsoft.com/office/drawing/2010/main" val="0"/>
                              </a:ext>
                            </a:extLst>
                          </a:blip>
                          <a:srcRect l="27150"/>
                          <a:stretch>
                            <a:fillRect/>
                          </a:stretch>
                        </pic:blipFill>
                        <pic:spPr>
                          <a:xfrm>
                            <a:off x="0" y="0"/>
                            <a:ext cx="1958479" cy="1551805"/>
                          </a:xfrm>
                          <a:prstGeom prst="rect">
                            <a:avLst/>
                          </a:prstGeom>
                          <a:noFill/>
                          <a:ln>
                            <a:noFill/>
                          </a:ln>
                        </pic:spPr>
                      </pic:pic>
                    </a:graphicData>
                  </a:graphic>
                </wp:inline>
              </w:drawing>
            </w:r>
          </w:p>
        </w:tc>
      </w:tr>
      <w:tr w14:paraId="5DDE4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203CD601">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5</w:t>
            </w:r>
          </w:p>
        </w:tc>
        <w:tc>
          <w:tcPr>
            <w:tcW w:w="4542" w:type="dxa"/>
          </w:tcPr>
          <w:p w14:paraId="3E0C7DA7">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清理坑槽</w:t>
            </w:r>
          </w:p>
          <w:p w14:paraId="455646DF">
            <w:pPr>
              <w:widowControl/>
              <w:tabs>
                <w:tab w:val="left" w:pos="720"/>
              </w:tabs>
              <w:textAlignment w:val="baseline"/>
              <w:rPr>
                <w:rFonts w:ascii="宋体" w:hAnsi="宋体" w:cs="Helvetica"/>
                <w:b/>
                <w:bCs/>
                <w:color w:val="060607"/>
                <w:spacing w:val="4"/>
                <w:sz w:val="24"/>
                <w:szCs w:val="24"/>
              </w:rPr>
            </w:pPr>
            <w:r>
              <w:rPr>
                <w:rFonts w:hint="eastAsia" w:ascii="宋体" w:hAnsi="宋体" w:cs="Helvetica"/>
                <w:color w:val="060607"/>
                <w:spacing w:val="4"/>
                <w:sz w:val="24"/>
                <w:szCs w:val="24"/>
              </w:rPr>
              <w:t>人工清理坑槽凿除废料，并吹扫干净，如有潮湿应吹干处理。</w:t>
            </w:r>
          </w:p>
        </w:tc>
        <w:tc>
          <w:tcPr>
            <w:tcW w:w="2766" w:type="dxa"/>
          </w:tcPr>
          <w:p w14:paraId="057E7DAD">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847215" cy="1271270"/>
                  <wp:effectExtent l="0" t="0" r="635"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49">
                            <a:extLst>
                              <a:ext uri="{28A0092B-C50C-407E-A947-70E740481C1C}">
                                <a14:useLocalDpi xmlns:a14="http://schemas.microsoft.com/office/drawing/2010/main" val="0"/>
                              </a:ext>
                            </a:extLst>
                          </a:blip>
                          <a:srcRect l="19977"/>
                          <a:stretch>
                            <a:fillRect/>
                          </a:stretch>
                        </pic:blipFill>
                        <pic:spPr>
                          <a:xfrm>
                            <a:off x="0" y="0"/>
                            <a:ext cx="1870879" cy="1287501"/>
                          </a:xfrm>
                          <a:prstGeom prst="rect">
                            <a:avLst/>
                          </a:prstGeom>
                          <a:noFill/>
                          <a:ln>
                            <a:noFill/>
                          </a:ln>
                        </pic:spPr>
                      </pic:pic>
                    </a:graphicData>
                  </a:graphic>
                </wp:inline>
              </w:drawing>
            </w:r>
          </w:p>
        </w:tc>
      </w:tr>
      <w:tr w14:paraId="53535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4E3A247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6</w:t>
            </w:r>
          </w:p>
        </w:tc>
        <w:tc>
          <w:tcPr>
            <w:tcW w:w="4542" w:type="dxa"/>
          </w:tcPr>
          <w:p w14:paraId="57BDCC21">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涂刷粘层油</w:t>
            </w:r>
          </w:p>
          <w:p w14:paraId="63ECFACC">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铣刨废料清理完毕，在铣刨面涂刷热沥青粘层油，用量一般在0</w:t>
            </w:r>
            <w:r>
              <w:rPr>
                <w:rFonts w:ascii="宋体" w:hAnsi="宋体" w:cs="Helvetica"/>
                <w:color w:val="060607"/>
                <w:spacing w:val="4"/>
                <w:sz w:val="24"/>
                <w:szCs w:val="24"/>
              </w:rPr>
              <w:t>.3</w:t>
            </w:r>
            <w:r>
              <w:rPr>
                <w:rFonts w:cs="Times New Roman"/>
                <w:color w:val="060607"/>
                <w:spacing w:val="4"/>
                <w:sz w:val="24"/>
                <w:szCs w:val="24"/>
              </w:rPr>
              <w:t>~</w:t>
            </w:r>
            <w:r>
              <w:rPr>
                <w:rFonts w:ascii="宋体" w:hAnsi="宋体" w:cs="Helvetica"/>
                <w:color w:val="060607"/>
                <w:spacing w:val="4"/>
                <w:sz w:val="24"/>
                <w:szCs w:val="24"/>
              </w:rPr>
              <w:t>0.6l/m</w:t>
            </w:r>
            <w:r>
              <w:rPr>
                <w:rFonts w:ascii="宋体" w:hAnsi="宋体" w:cs="Helvetica"/>
                <w:color w:val="060607"/>
                <w:spacing w:val="4"/>
                <w:sz w:val="24"/>
                <w:szCs w:val="24"/>
                <w:vertAlign w:val="superscript"/>
              </w:rPr>
              <w:t>2</w:t>
            </w:r>
            <w:r>
              <w:rPr>
                <w:rFonts w:hint="eastAsia" w:ascii="宋体" w:hAnsi="宋体" w:cs="Helvetica"/>
                <w:color w:val="060607"/>
                <w:spacing w:val="4"/>
                <w:sz w:val="24"/>
                <w:szCs w:val="24"/>
              </w:rPr>
              <w:t>左右，尽量涂刷均匀。</w:t>
            </w:r>
          </w:p>
        </w:tc>
        <w:tc>
          <w:tcPr>
            <w:tcW w:w="2766" w:type="dxa"/>
          </w:tcPr>
          <w:p w14:paraId="02378A59">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834515" cy="137477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846519" cy="1384111"/>
                          </a:xfrm>
                          <a:prstGeom prst="rect">
                            <a:avLst/>
                          </a:prstGeom>
                          <a:noFill/>
                          <a:ln>
                            <a:noFill/>
                          </a:ln>
                        </pic:spPr>
                      </pic:pic>
                    </a:graphicData>
                  </a:graphic>
                </wp:inline>
              </w:drawing>
            </w:r>
          </w:p>
        </w:tc>
      </w:tr>
      <w:tr w14:paraId="5B9CE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07FB955D">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7</w:t>
            </w:r>
          </w:p>
        </w:tc>
        <w:tc>
          <w:tcPr>
            <w:tcW w:w="4542" w:type="dxa"/>
          </w:tcPr>
          <w:p w14:paraId="1CD8706A">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摊铺修补料</w:t>
            </w:r>
          </w:p>
          <w:p w14:paraId="350F1AD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修补料加热到规定温度，避免沥青混合料出现离析，修补料摊铺厚度比原路面略高。</w:t>
            </w:r>
          </w:p>
        </w:tc>
        <w:tc>
          <w:tcPr>
            <w:tcW w:w="2766" w:type="dxa"/>
          </w:tcPr>
          <w:p w14:paraId="0D767F0E">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885315" cy="1620520"/>
                  <wp:effectExtent l="0" t="0" r="63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1909583" cy="1641199"/>
                          </a:xfrm>
                          <a:prstGeom prst="rect">
                            <a:avLst/>
                          </a:prstGeom>
                          <a:noFill/>
                          <a:ln>
                            <a:noFill/>
                          </a:ln>
                        </pic:spPr>
                      </pic:pic>
                    </a:graphicData>
                  </a:graphic>
                </wp:inline>
              </w:drawing>
            </w:r>
          </w:p>
        </w:tc>
      </w:tr>
      <w:tr w14:paraId="5E948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1F5ABD9">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8</w:t>
            </w:r>
          </w:p>
        </w:tc>
        <w:tc>
          <w:tcPr>
            <w:tcW w:w="4542" w:type="dxa"/>
          </w:tcPr>
          <w:p w14:paraId="7FF317D8">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碾压</w:t>
            </w:r>
          </w:p>
          <w:p w14:paraId="0D11308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摊铺完后用压路机及时碾压，碾压遵循先四边后中心、先静压后振压、前后左右交替碾压原则，对新旧路面接缝处，应骑缝碾压。</w:t>
            </w:r>
          </w:p>
        </w:tc>
        <w:tc>
          <w:tcPr>
            <w:tcW w:w="2766" w:type="dxa"/>
          </w:tcPr>
          <w:p w14:paraId="4E9350C3">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67230" cy="147066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flipH="1">
                            <a:off x="0" y="0"/>
                            <a:ext cx="1988657" cy="1486706"/>
                          </a:xfrm>
                          <a:prstGeom prst="rect">
                            <a:avLst/>
                          </a:prstGeom>
                          <a:noFill/>
                          <a:ln>
                            <a:noFill/>
                          </a:ln>
                        </pic:spPr>
                      </pic:pic>
                    </a:graphicData>
                  </a:graphic>
                </wp:inline>
              </w:drawing>
            </w:r>
          </w:p>
        </w:tc>
      </w:tr>
      <w:tr w14:paraId="62897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ACCE5E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9</w:t>
            </w:r>
          </w:p>
        </w:tc>
        <w:tc>
          <w:tcPr>
            <w:tcW w:w="4542" w:type="dxa"/>
          </w:tcPr>
          <w:p w14:paraId="6FFC51CA">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开放交通</w:t>
            </w:r>
          </w:p>
          <w:p w14:paraId="01E95C81">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重铺完毕，路面清理干净，集中装车运离现场。待重铺路面冷却至常温后即可开放交通。</w:t>
            </w:r>
          </w:p>
        </w:tc>
        <w:tc>
          <w:tcPr>
            <w:tcW w:w="2766" w:type="dxa"/>
          </w:tcPr>
          <w:p w14:paraId="461BED99">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77390" cy="1478280"/>
                  <wp:effectExtent l="0" t="0" r="3810" b="762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005729" cy="1499468"/>
                          </a:xfrm>
                          <a:prstGeom prst="rect">
                            <a:avLst/>
                          </a:prstGeom>
                          <a:noFill/>
                          <a:ln>
                            <a:noFill/>
                          </a:ln>
                        </pic:spPr>
                      </pic:pic>
                    </a:graphicData>
                  </a:graphic>
                </wp:inline>
              </w:drawing>
            </w:r>
          </w:p>
        </w:tc>
      </w:tr>
      <w:bookmarkEnd w:id="49"/>
    </w:tbl>
    <w:p w14:paraId="50565FED">
      <w:pPr>
        <w:rPr>
          <w:b/>
          <w:bCs/>
        </w:rPr>
      </w:pPr>
    </w:p>
    <w:p w14:paraId="4F27A412">
      <w:pPr>
        <w:rPr>
          <w:b/>
          <w:bCs/>
        </w:rPr>
      </w:pPr>
      <w:r>
        <w:rPr>
          <w:rFonts w:hint="eastAsia"/>
          <w:b/>
          <w:bCs/>
        </w:rPr>
        <w:t>机械铣刨</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
        <w:gridCol w:w="3968"/>
        <w:gridCol w:w="3666"/>
      </w:tblGrid>
      <w:tr w14:paraId="2E989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28223E0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序号</w:t>
            </w:r>
          </w:p>
        </w:tc>
        <w:tc>
          <w:tcPr>
            <w:tcW w:w="4542" w:type="dxa"/>
          </w:tcPr>
          <w:p w14:paraId="2FF31E0E">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步骤</w:t>
            </w:r>
          </w:p>
        </w:tc>
        <w:tc>
          <w:tcPr>
            <w:tcW w:w="2766" w:type="dxa"/>
          </w:tcPr>
          <w:p w14:paraId="4F74E02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图例</w:t>
            </w:r>
          </w:p>
        </w:tc>
      </w:tr>
      <w:tr w14:paraId="35B1C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56E9801B">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1</w:t>
            </w:r>
          </w:p>
        </w:tc>
        <w:tc>
          <w:tcPr>
            <w:tcW w:w="4542" w:type="dxa"/>
          </w:tcPr>
          <w:p w14:paraId="3F567ECD">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现场安全文明施工组织</w:t>
            </w:r>
          </w:p>
          <w:p w14:paraId="5E24C697">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布置施工现场，人员穿着反光标志服，设置警示标识，合理安排交通管制措施。</w:t>
            </w:r>
          </w:p>
        </w:tc>
        <w:tc>
          <w:tcPr>
            <w:tcW w:w="2766" w:type="dxa"/>
          </w:tcPr>
          <w:p w14:paraId="6D2ACFA9">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864995" cy="1398905"/>
                  <wp:effectExtent l="0" t="0" r="190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883065" cy="1412432"/>
                          </a:xfrm>
                          <a:prstGeom prst="rect">
                            <a:avLst/>
                          </a:prstGeom>
                          <a:noFill/>
                          <a:ln>
                            <a:noFill/>
                          </a:ln>
                        </pic:spPr>
                      </pic:pic>
                    </a:graphicData>
                  </a:graphic>
                </wp:inline>
              </w:drawing>
            </w:r>
          </w:p>
        </w:tc>
      </w:tr>
      <w:tr w14:paraId="00745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507DCF0C">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2</w:t>
            </w:r>
          </w:p>
        </w:tc>
        <w:tc>
          <w:tcPr>
            <w:tcW w:w="4542" w:type="dxa"/>
          </w:tcPr>
          <w:p w14:paraId="51786EFF">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确定处治范围</w:t>
            </w:r>
          </w:p>
          <w:p w14:paraId="02EADC5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病害处治面积一般沿病害四周向外扩大1</w:t>
            </w:r>
            <w:r>
              <w:rPr>
                <w:rFonts w:ascii="宋体" w:hAnsi="宋体" w:cs="Helvetica"/>
                <w:color w:val="060607"/>
                <w:spacing w:val="4"/>
                <w:sz w:val="24"/>
                <w:szCs w:val="24"/>
              </w:rPr>
              <w:t>00</w:t>
            </w:r>
            <w:r>
              <w:rPr>
                <w:rFonts w:hint="eastAsia" w:ascii="宋体" w:hAnsi="宋体" w:cs="Helvetica"/>
                <w:color w:val="060607"/>
                <w:spacing w:val="4"/>
                <w:sz w:val="24"/>
                <w:szCs w:val="24"/>
              </w:rPr>
              <w:t>mm以上的方形范围。</w:t>
            </w:r>
          </w:p>
        </w:tc>
        <w:tc>
          <w:tcPr>
            <w:tcW w:w="2766" w:type="dxa"/>
          </w:tcPr>
          <w:p w14:paraId="3A81B8A7">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55800" cy="1464945"/>
                  <wp:effectExtent l="0" t="0" r="6350" b="190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1974578" cy="1479223"/>
                          </a:xfrm>
                          <a:prstGeom prst="rect">
                            <a:avLst/>
                          </a:prstGeom>
                          <a:noFill/>
                          <a:ln>
                            <a:noFill/>
                          </a:ln>
                        </pic:spPr>
                      </pic:pic>
                    </a:graphicData>
                  </a:graphic>
                </wp:inline>
              </w:drawing>
            </w:r>
          </w:p>
        </w:tc>
      </w:tr>
      <w:tr w14:paraId="45913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3A2B4B82">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3</w:t>
            </w:r>
          </w:p>
        </w:tc>
        <w:tc>
          <w:tcPr>
            <w:tcW w:w="4542" w:type="dxa"/>
          </w:tcPr>
          <w:p w14:paraId="7F6D45FB">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铣刨路面</w:t>
            </w:r>
          </w:p>
          <w:p w14:paraId="45B0067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铣刨机铣刨路面沥青层，铣刨时，沥青粘接层或封层等一并去除，不留夹层，保持铣刨后路面平整。</w:t>
            </w:r>
          </w:p>
        </w:tc>
        <w:tc>
          <w:tcPr>
            <w:tcW w:w="2766" w:type="dxa"/>
          </w:tcPr>
          <w:p w14:paraId="0AC4909B">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43430" cy="153035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065297" cy="1547183"/>
                          </a:xfrm>
                          <a:prstGeom prst="rect">
                            <a:avLst/>
                          </a:prstGeom>
                          <a:noFill/>
                          <a:ln>
                            <a:noFill/>
                          </a:ln>
                        </pic:spPr>
                      </pic:pic>
                    </a:graphicData>
                  </a:graphic>
                </wp:inline>
              </w:drawing>
            </w:r>
          </w:p>
        </w:tc>
      </w:tr>
      <w:tr w14:paraId="2AF3C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347A8B12">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4</w:t>
            </w:r>
          </w:p>
        </w:tc>
        <w:tc>
          <w:tcPr>
            <w:tcW w:w="4542" w:type="dxa"/>
          </w:tcPr>
          <w:p w14:paraId="183FC77A">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清理坑槽</w:t>
            </w:r>
          </w:p>
          <w:p w14:paraId="084E3BD5">
            <w:pPr>
              <w:rPr>
                <w:rFonts w:ascii="宋体" w:hAnsi="宋体" w:cs="Helvetica"/>
                <w:color w:val="060607"/>
                <w:spacing w:val="4"/>
                <w:sz w:val="24"/>
                <w:szCs w:val="24"/>
              </w:rPr>
            </w:pPr>
            <w:r>
              <w:rPr>
                <w:rFonts w:hint="eastAsia" w:ascii="宋体" w:hAnsi="宋体" w:cs="Helvetica"/>
                <w:color w:val="060607"/>
                <w:spacing w:val="4"/>
                <w:sz w:val="24"/>
                <w:szCs w:val="24"/>
              </w:rPr>
              <w:t>人工清理铣刨废料，如有潮湿应吹干处理。</w:t>
            </w:r>
          </w:p>
        </w:tc>
        <w:tc>
          <w:tcPr>
            <w:tcW w:w="2766" w:type="dxa"/>
          </w:tcPr>
          <w:p w14:paraId="0449CC30">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67560" cy="1542415"/>
                  <wp:effectExtent l="0" t="0" r="8890" b="63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075459" cy="1548134"/>
                          </a:xfrm>
                          <a:prstGeom prst="rect">
                            <a:avLst/>
                          </a:prstGeom>
                          <a:noFill/>
                          <a:ln>
                            <a:noFill/>
                          </a:ln>
                        </pic:spPr>
                      </pic:pic>
                    </a:graphicData>
                  </a:graphic>
                </wp:inline>
              </w:drawing>
            </w:r>
          </w:p>
        </w:tc>
      </w:tr>
      <w:tr w14:paraId="5741F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DA4F27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5</w:t>
            </w:r>
          </w:p>
        </w:tc>
        <w:tc>
          <w:tcPr>
            <w:tcW w:w="4542" w:type="dxa"/>
          </w:tcPr>
          <w:p w14:paraId="5E67F492">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涂刷粘层油</w:t>
            </w:r>
          </w:p>
          <w:p w14:paraId="28195B84">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铣刨废料清理完毕，在铣刨面涂刷热沥青粘层油，用量一般在0</w:t>
            </w:r>
            <w:r>
              <w:rPr>
                <w:rFonts w:ascii="宋体" w:hAnsi="宋体" w:cs="Helvetica"/>
                <w:color w:val="060607"/>
                <w:spacing w:val="4"/>
                <w:sz w:val="24"/>
                <w:szCs w:val="24"/>
              </w:rPr>
              <w:t>.3</w:t>
            </w:r>
            <w:r>
              <w:rPr>
                <w:rFonts w:cs="Times New Roman"/>
                <w:color w:val="060607"/>
                <w:spacing w:val="4"/>
                <w:sz w:val="24"/>
                <w:szCs w:val="24"/>
              </w:rPr>
              <w:t>~</w:t>
            </w:r>
            <w:r>
              <w:rPr>
                <w:rFonts w:ascii="宋体" w:hAnsi="宋体" w:cs="Helvetica"/>
                <w:color w:val="060607"/>
                <w:spacing w:val="4"/>
                <w:sz w:val="24"/>
                <w:szCs w:val="24"/>
              </w:rPr>
              <w:t>0.6l/m</w:t>
            </w:r>
            <w:r>
              <w:rPr>
                <w:rFonts w:ascii="宋体" w:hAnsi="宋体" w:cs="Helvetica"/>
                <w:color w:val="060607"/>
                <w:spacing w:val="4"/>
                <w:sz w:val="24"/>
                <w:szCs w:val="24"/>
                <w:vertAlign w:val="superscript"/>
              </w:rPr>
              <w:t>2</w:t>
            </w:r>
            <w:r>
              <w:rPr>
                <w:rFonts w:hint="eastAsia" w:ascii="宋体" w:hAnsi="宋体" w:cs="Helvetica"/>
                <w:color w:val="060607"/>
                <w:spacing w:val="4"/>
                <w:sz w:val="24"/>
                <w:szCs w:val="24"/>
              </w:rPr>
              <w:t>左右，尽量涂刷均匀。</w:t>
            </w:r>
          </w:p>
        </w:tc>
        <w:tc>
          <w:tcPr>
            <w:tcW w:w="2766" w:type="dxa"/>
          </w:tcPr>
          <w:p w14:paraId="59E78BA5">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66925" cy="1542415"/>
                  <wp:effectExtent l="0" t="0" r="9525" b="6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093732" cy="1562292"/>
                          </a:xfrm>
                          <a:prstGeom prst="rect">
                            <a:avLst/>
                          </a:prstGeom>
                          <a:noFill/>
                          <a:ln>
                            <a:noFill/>
                          </a:ln>
                        </pic:spPr>
                      </pic:pic>
                    </a:graphicData>
                  </a:graphic>
                </wp:inline>
              </w:drawing>
            </w:r>
          </w:p>
        </w:tc>
      </w:tr>
      <w:tr w14:paraId="72E9C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0E699F08">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6</w:t>
            </w:r>
          </w:p>
        </w:tc>
        <w:tc>
          <w:tcPr>
            <w:tcW w:w="4542" w:type="dxa"/>
          </w:tcPr>
          <w:p w14:paraId="4FB3E166">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摊铺修补料</w:t>
            </w:r>
          </w:p>
          <w:p w14:paraId="1F00916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修补料加热到规定温度，避免沥青混合料出现离析，修补料摊铺厚度比原路面略高。</w:t>
            </w:r>
          </w:p>
        </w:tc>
        <w:tc>
          <w:tcPr>
            <w:tcW w:w="2766" w:type="dxa"/>
          </w:tcPr>
          <w:p w14:paraId="39C2F8E2">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91055" cy="1562735"/>
                  <wp:effectExtent l="0" t="0" r="444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110295" cy="1577641"/>
                          </a:xfrm>
                          <a:prstGeom prst="rect">
                            <a:avLst/>
                          </a:prstGeom>
                          <a:noFill/>
                          <a:ln>
                            <a:noFill/>
                          </a:ln>
                        </pic:spPr>
                      </pic:pic>
                    </a:graphicData>
                  </a:graphic>
                </wp:inline>
              </w:drawing>
            </w:r>
          </w:p>
        </w:tc>
      </w:tr>
      <w:tr w14:paraId="33E33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45E4A6C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7</w:t>
            </w:r>
          </w:p>
        </w:tc>
        <w:tc>
          <w:tcPr>
            <w:tcW w:w="4542" w:type="dxa"/>
          </w:tcPr>
          <w:p w14:paraId="49CA18C9">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碾压</w:t>
            </w:r>
          </w:p>
          <w:p w14:paraId="709C42D2">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摊铺完后用压路机及时碾压，碾压遵循先四边后中心、先静压后振压、前后左右交替碾压原则，对新旧路面接缝处，应骑缝碾压。</w:t>
            </w:r>
          </w:p>
        </w:tc>
        <w:tc>
          <w:tcPr>
            <w:tcW w:w="2766" w:type="dxa"/>
          </w:tcPr>
          <w:p w14:paraId="670F7C7C">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143125" cy="160528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168197" cy="1624269"/>
                          </a:xfrm>
                          <a:prstGeom prst="rect">
                            <a:avLst/>
                          </a:prstGeom>
                          <a:noFill/>
                          <a:ln>
                            <a:noFill/>
                          </a:ln>
                        </pic:spPr>
                      </pic:pic>
                    </a:graphicData>
                  </a:graphic>
                </wp:inline>
              </w:drawing>
            </w:r>
          </w:p>
        </w:tc>
      </w:tr>
      <w:tr w14:paraId="1E8E3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4FA423C">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8</w:t>
            </w:r>
          </w:p>
        </w:tc>
        <w:tc>
          <w:tcPr>
            <w:tcW w:w="4542" w:type="dxa"/>
          </w:tcPr>
          <w:p w14:paraId="73E6F773">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开放交通</w:t>
            </w:r>
          </w:p>
          <w:p w14:paraId="0CBF058C">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重铺完毕，路面清理干净，集中装车运离现场。待重铺路面冷却至常温后即可开放交通。</w:t>
            </w:r>
          </w:p>
        </w:tc>
        <w:tc>
          <w:tcPr>
            <w:tcW w:w="2766" w:type="dxa"/>
          </w:tcPr>
          <w:p w14:paraId="197AE36F">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190750" cy="1637665"/>
                  <wp:effectExtent l="0" t="0" r="0" b="63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212803" cy="1654276"/>
                          </a:xfrm>
                          <a:prstGeom prst="rect">
                            <a:avLst/>
                          </a:prstGeom>
                          <a:noFill/>
                          <a:ln>
                            <a:noFill/>
                          </a:ln>
                        </pic:spPr>
                      </pic:pic>
                    </a:graphicData>
                  </a:graphic>
                </wp:inline>
              </w:drawing>
            </w:r>
          </w:p>
        </w:tc>
      </w:tr>
    </w:tbl>
    <w:p w14:paraId="079877F5"/>
    <w:p w14:paraId="0D415139">
      <w:pPr>
        <w:pStyle w:val="4"/>
        <w:rPr>
          <w:b/>
          <w:bCs w:val="0"/>
        </w:rPr>
      </w:pPr>
      <w:r>
        <w:rPr>
          <w:b/>
          <w:bCs w:val="0"/>
        </w:rPr>
        <w:t>啃边</w:t>
      </w:r>
    </w:p>
    <w:p w14:paraId="21AA6E8D">
      <w:pPr>
        <w:widowControl/>
        <w:shd w:val="clear" w:color="auto" w:fill="FFFFFF"/>
        <w:ind w:firstLine="576" w:firstLineChars="200"/>
        <w:textAlignment w:val="baseline"/>
        <w:rPr>
          <w:rFonts w:ascii="宋体" w:hAnsi="宋体" w:cs="Helvetica"/>
          <w:color w:val="060607"/>
          <w:spacing w:val="4"/>
          <w:szCs w:val="28"/>
        </w:rPr>
      </w:pPr>
      <w:r>
        <w:rPr>
          <w:rFonts w:ascii="宋体" w:hAnsi="宋体" w:cs="Helvetica"/>
          <w:color w:val="060607"/>
          <w:spacing w:val="4"/>
          <w:szCs w:val="28"/>
        </w:rPr>
        <w:t>应将破损的沥青面层挖除，在接茬处涂刷粘结沥青，再恢复面层。</w:t>
      </w:r>
    </w:p>
    <w:p w14:paraId="3256BF0A">
      <w:pPr>
        <w:pStyle w:val="4"/>
        <w:rPr>
          <w:b/>
          <w:bCs w:val="0"/>
        </w:rPr>
      </w:pPr>
      <w:r>
        <w:rPr>
          <w:b/>
          <w:bCs w:val="0"/>
        </w:rPr>
        <w:t>路框差</w:t>
      </w:r>
    </w:p>
    <w:p w14:paraId="4B45AD25">
      <w:pPr>
        <w:widowControl/>
        <w:numPr>
          <w:ilvl w:val="0"/>
          <w:numId w:val="9"/>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当井座基础底板强度不足或井顶砖块碎裂散失造成路框差时，宜更换安装改良型卸载大盖板。</w:t>
      </w:r>
    </w:p>
    <w:p w14:paraId="780B4817">
      <w:pPr>
        <w:widowControl/>
        <w:numPr>
          <w:ilvl w:val="0"/>
          <w:numId w:val="9"/>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当井座周边路面下陷造成路框差时，应修补周边路面。</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3"/>
        <w:gridCol w:w="4447"/>
        <w:gridCol w:w="3492"/>
      </w:tblGrid>
      <w:tr w14:paraId="666B3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3F623D61">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序号</w:t>
            </w:r>
          </w:p>
        </w:tc>
        <w:tc>
          <w:tcPr>
            <w:tcW w:w="5057" w:type="dxa"/>
          </w:tcPr>
          <w:p w14:paraId="1B2B0F6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步骤</w:t>
            </w:r>
          </w:p>
        </w:tc>
        <w:tc>
          <w:tcPr>
            <w:tcW w:w="2631" w:type="dxa"/>
          </w:tcPr>
          <w:p w14:paraId="66D14A29">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图例</w:t>
            </w:r>
          </w:p>
        </w:tc>
      </w:tr>
      <w:tr w14:paraId="09160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02C093A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1</w:t>
            </w:r>
          </w:p>
        </w:tc>
        <w:tc>
          <w:tcPr>
            <w:tcW w:w="5057" w:type="dxa"/>
          </w:tcPr>
          <w:p w14:paraId="6B596A1F">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现场安全文明施工组织</w:t>
            </w:r>
          </w:p>
          <w:p w14:paraId="750CF224">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布置施工现场，人员穿着反光标志服，设置警示标识，合理安排交通管制措施。</w:t>
            </w:r>
          </w:p>
        </w:tc>
        <w:tc>
          <w:tcPr>
            <w:tcW w:w="2631" w:type="dxa"/>
          </w:tcPr>
          <w:p w14:paraId="25834317">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49780" cy="1532890"/>
                  <wp:effectExtent l="0" t="0" r="762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067916" cy="1547075"/>
                          </a:xfrm>
                          <a:prstGeom prst="rect">
                            <a:avLst/>
                          </a:prstGeom>
                          <a:noFill/>
                          <a:ln>
                            <a:noFill/>
                          </a:ln>
                        </pic:spPr>
                      </pic:pic>
                    </a:graphicData>
                  </a:graphic>
                </wp:inline>
              </w:drawing>
            </w:r>
          </w:p>
        </w:tc>
      </w:tr>
      <w:tr w14:paraId="4AFA2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0CC88B4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2</w:t>
            </w:r>
          </w:p>
        </w:tc>
        <w:tc>
          <w:tcPr>
            <w:tcW w:w="5057" w:type="dxa"/>
          </w:tcPr>
          <w:p w14:paraId="15760626">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旧路面切圆</w:t>
            </w:r>
          </w:p>
          <w:p w14:paraId="1A19E50F">
            <w:pPr>
              <w:rPr>
                <w:rFonts w:ascii="宋体" w:hAnsi="宋体"/>
                <w:sz w:val="24"/>
                <w:szCs w:val="24"/>
              </w:rPr>
            </w:pPr>
            <w:r>
              <w:rPr>
                <w:rFonts w:hint="eastAsia" w:ascii="宋体" w:hAnsi="宋体"/>
                <w:sz w:val="24"/>
                <w:szCs w:val="24"/>
              </w:rPr>
              <w:t>一律使用圆形切割机，切圆中心和旧井盖中心重合，切圆直径根据井周破坏范围确定，最小直径为</w:t>
            </w:r>
            <w:r>
              <w:rPr>
                <w:rFonts w:ascii="宋体" w:hAnsi="宋体"/>
                <w:sz w:val="24"/>
                <w:szCs w:val="24"/>
              </w:rPr>
              <w:t>1200mm</w:t>
            </w:r>
            <w:r>
              <w:rPr>
                <w:rFonts w:hint="eastAsia" w:ascii="宋体" w:hAnsi="宋体"/>
                <w:sz w:val="24"/>
                <w:szCs w:val="24"/>
              </w:rPr>
              <w:t>；禁止切成四边形、六边形等形状。</w:t>
            </w:r>
          </w:p>
          <w:p w14:paraId="0B571CC0">
            <w:r>
              <w:rPr>
                <w:rFonts w:hint="eastAsia" w:ascii="宋体" w:hAnsi="宋体"/>
                <w:sz w:val="24"/>
                <w:szCs w:val="24"/>
              </w:rPr>
              <w:t>破除时应注意切割面的保护，不得破坏切割边缘；基坑破除深度宜为旧路面以下</w:t>
            </w:r>
            <w:r>
              <w:rPr>
                <w:rFonts w:ascii="宋体" w:hAnsi="宋体"/>
                <w:sz w:val="24"/>
                <w:szCs w:val="24"/>
              </w:rPr>
              <w:t>13-20cm</w:t>
            </w:r>
            <w:r>
              <w:rPr>
                <w:rFonts w:hint="eastAsia" w:ascii="宋体" w:hAnsi="宋体"/>
                <w:sz w:val="24"/>
                <w:szCs w:val="24"/>
              </w:rPr>
              <w:t>，坑面应清洁，平整度较好。</w:t>
            </w:r>
          </w:p>
        </w:tc>
        <w:tc>
          <w:tcPr>
            <w:tcW w:w="2631" w:type="dxa"/>
          </w:tcPr>
          <w:p w14:paraId="769C58B9">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68830" cy="1725295"/>
                  <wp:effectExtent l="0" t="0" r="762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097070" cy="1748454"/>
                          </a:xfrm>
                          <a:prstGeom prst="rect">
                            <a:avLst/>
                          </a:prstGeom>
                          <a:noFill/>
                          <a:ln>
                            <a:noFill/>
                          </a:ln>
                        </pic:spPr>
                      </pic:pic>
                    </a:graphicData>
                  </a:graphic>
                </wp:inline>
              </w:drawing>
            </w:r>
          </w:p>
        </w:tc>
      </w:tr>
      <w:tr w14:paraId="33DDD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050A94F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3</w:t>
            </w:r>
          </w:p>
        </w:tc>
        <w:tc>
          <w:tcPr>
            <w:tcW w:w="5057" w:type="dxa"/>
          </w:tcPr>
          <w:p w14:paraId="2ACF9E7E">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破除旧路面</w:t>
            </w:r>
          </w:p>
          <w:p w14:paraId="15A8D591">
            <w:pPr>
              <w:autoSpaceDE w:val="0"/>
              <w:autoSpaceDN w:val="0"/>
              <w:adjustRightInd w:val="0"/>
              <w:rPr>
                <w:rFonts w:hint="eastAsia" w:ascii="宋体" w:hAnsi="宋体" w:cs="Helvetica"/>
                <w:color w:val="060607"/>
                <w:spacing w:val="4"/>
                <w:sz w:val="24"/>
                <w:szCs w:val="24"/>
              </w:rPr>
            </w:pPr>
            <w:r>
              <w:rPr>
                <w:rFonts w:hint="eastAsia" w:ascii="宋体" w:hAnsi="宋体" w:cs="Helvetica"/>
                <w:color w:val="060607"/>
                <w:spacing w:val="4"/>
                <w:sz w:val="24"/>
                <w:szCs w:val="24"/>
              </w:rPr>
              <w:t>旧路面破除时首先用小型橡胶履带式挖掘机进行机械破除，并预留外侧</w:t>
            </w:r>
            <w:r>
              <w:rPr>
                <w:rFonts w:ascii="宋体" w:hAnsi="宋体" w:cs="Helvetica"/>
                <w:color w:val="060607"/>
                <w:spacing w:val="4"/>
                <w:sz w:val="24"/>
                <w:szCs w:val="24"/>
              </w:rPr>
              <w:t>2cm</w:t>
            </w:r>
            <w:r>
              <w:rPr>
                <w:rFonts w:cs="Times New Roman"/>
                <w:color w:val="060607"/>
                <w:spacing w:val="4"/>
                <w:sz w:val="24"/>
                <w:szCs w:val="24"/>
              </w:rPr>
              <w:t>~</w:t>
            </w:r>
            <w:r>
              <w:rPr>
                <w:rFonts w:ascii="宋体" w:hAnsi="宋体" w:cs="Helvetica"/>
                <w:color w:val="060607"/>
                <w:spacing w:val="4"/>
                <w:sz w:val="24"/>
                <w:szCs w:val="24"/>
              </w:rPr>
              <w:t xml:space="preserve">3cm </w:t>
            </w:r>
            <w:r>
              <w:rPr>
                <w:rFonts w:hint="eastAsia" w:ascii="宋体" w:hAnsi="宋体" w:cs="Helvetica"/>
                <w:color w:val="060607"/>
                <w:spacing w:val="4"/>
                <w:sz w:val="24"/>
                <w:szCs w:val="24"/>
              </w:rPr>
              <w:t>用破碎镐人工破除，破除时应注意切割面的保护，不得破坏切割边缘。破除深度宜为旧路面以下</w:t>
            </w:r>
            <w:r>
              <w:rPr>
                <w:rFonts w:ascii="宋体" w:hAnsi="宋体" w:cs="Helvetica"/>
                <w:color w:val="060607"/>
                <w:spacing w:val="4"/>
                <w:sz w:val="24"/>
                <w:szCs w:val="24"/>
              </w:rPr>
              <w:t>12cm</w:t>
            </w:r>
            <w:r>
              <w:rPr>
                <w:rFonts w:cs="Times New Roman"/>
                <w:color w:val="060607"/>
                <w:spacing w:val="4"/>
                <w:sz w:val="24"/>
                <w:szCs w:val="24"/>
              </w:rPr>
              <w:t>~</w:t>
            </w:r>
            <w:r>
              <w:rPr>
                <w:rFonts w:ascii="宋体" w:hAnsi="宋体" w:cs="Helvetica"/>
                <w:color w:val="060607"/>
                <w:spacing w:val="4"/>
                <w:sz w:val="24"/>
                <w:szCs w:val="24"/>
              </w:rPr>
              <w:t>20cm</w:t>
            </w:r>
            <w:r>
              <w:rPr>
                <w:rFonts w:hint="eastAsia" w:ascii="宋体" w:hAnsi="宋体" w:cs="Helvetica"/>
                <w:color w:val="060607"/>
                <w:spacing w:val="4"/>
                <w:sz w:val="24"/>
                <w:szCs w:val="24"/>
              </w:rPr>
              <w:t>。</w:t>
            </w:r>
          </w:p>
        </w:tc>
        <w:tc>
          <w:tcPr>
            <w:tcW w:w="2631" w:type="dxa"/>
          </w:tcPr>
          <w:p w14:paraId="7D81ACE8">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49780" cy="1717040"/>
                  <wp:effectExtent l="0" t="0" r="762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107045" cy="1765036"/>
                          </a:xfrm>
                          <a:prstGeom prst="rect">
                            <a:avLst/>
                          </a:prstGeom>
                          <a:noFill/>
                          <a:ln>
                            <a:noFill/>
                          </a:ln>
                        </pic:spPr>
                      </pic:pic>
                    </a:graphicData>
                  </a:graphic>
                </wp:inline>
              </w:drawing>
            </w:r>
          </w:p>
        </w:tc>
      </w:tr>
      <w:tr w14:paraId="61E93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752C2862">
            <w:pPr>
              <w:widowControl/>
              <w:tabs>
                <w:tab w:val="left" w:pos="720"/>
              </w:tabs>
              <w:textAlignment w:val="baseline"/>
              <w:rPr>
                <w:rFonts w:ascii="宋体" w:hAnsi="宋体" w:cs="Helvetica"/>
                <w:color w:val="060607"/>
                <w:spacing w:val="4"/>
                <w:sz w:val="24"/>
                <w:szCs w:val="24"/>
              </w:rPr>
            </w:pPr>
          </w:p>
        </w:tc>
        <w:tc>
          <w:tcPr>
            <w:tcW w:w="5057" w:type="dxa"/>
          </w:tcPr>
          <w:p w14:paraId="5874012A">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基底处理</w:t>
            </w:r>
          </w:p>
          <w:p w14:paraId="14064834">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井筒顶部存在局部破损时，应先对破损的井筒进行修复。</w:t>
            </w:r>
          </w:p>
          <w:p w14:paraId="244A89C0">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井筒顶面不平先用</w:t>
            </w:r>
            <w:r>
              <w:rPr>
                <w:rFonts w:ascii="宋体" w:hAnsi="宋体" w:cs="Helvetica"/>
                <w:color w:val="060607"/>
                <w:spacing w:val="4"/>
                <w:sz w:val="24"/>
                <w:szCs w:val="24"/>
              </w:rPr>
              <w:t xml:space="preserve">1:2 </w:t>
            </w:r>
            <w:r>
              <w:rPr>
                <w:rFonts w:hint="eastAsia" w:ascii="宋体" w:hAnsi="宋体" w:cs="Helvetica"/>
                <w:color w:val="060607"/>
                <w:spacing w:val="4"/>
                <w:sz w:val="24"/>
                <w:szCs w:val="24"/>
              </w:rPr>
              <w:t>的水泥砂浆调平，调平砂浆厚度不应大于</w:t>
            </w:r>
            <w:r>
              <w:rPr>
                <w:rFonts w:ascii="宋体" w:hAnsi="宋体" w:cs="Helvetica"/>
                <w:color w:val="060607"/>
                <w:spacing w:val="4"/>
                <w:sz w:val="24"/>
                <w:szCs w:val="24"/>
              </w:rPr>
              <w:t>20mm</w:t>
            </w:r>
            <w:r>
              <w:rPr>
                <w:rFonts w:hint="eastAsia" w:ascii="宋体" w:hAnsi="宋体" w:cs="Helvetica"/>
                <w:color w:val="060607"/>
                <w:spacing w:val="4"/>
                <w:sz w:val="24"/>
                <w:szCs w:val="24"/>
              </w:rPr>
              <w:t>。</w:t>
            </w:r>
          </w:p>
          <w:p w14:paraId="7B3F9A0C">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井筒距现有路面标高大于</w:t>
            </w:r>
            <w:r>
              <w:rPr>
                <w:rFonts w:ascii="宋体" w:hAnsi="宋体" w:cs="Helvetica"/>
                <w:color w:val="060607"/>
                <w:spacing w:val="4"/>
                <w:sz w:val="24"/>
                <w:szCs w:val="24"/>
              </w:rPr>
              <w:t xml:space="preserve">20cm </w:t>
            </w:r>
            <w:r>
              <w:rPr>
                <w:rFonts w:hint="eastAsia" w:ascii="宋体" w:hAnsi="宋体" w:cs="Helvetica"/>
                <w:color w:val="060607"/>
                <w:spacing w:val="4"/>
                <w:sz w:val="24"/>
                <w:szCs w:val="24"/>
              </w:rPr>
              <w:t>时应用</w:t>
            </w:r>
            <w:r>
              <w:rPr>
                <w:rFonts w:ascii="宋体" w:hAnsi="宋体" w:cs="Helvetica"/>
                <w:color w:val="060607"/>
                <w:spacing w:val="4"/>
                <w:sz w:val="24"/>
                <w:szCs w:val="24"/>
              </w:rPr>
              <w:t>C30</w:t>
            </w:r>
            <w:r>
              <w:rPr>
                <w:rFonts w:hint="eastAsia" w:ascii="宋体" w:hAnsi="宋体" w:cs="Helvetica"/>
                <w:color w:val="060607"/>
                <w:spacing w:val="4"/>
                <w:sz w:val="24"/>
                <w:szCs w:val="24"/>
              </w:rPr>
              <w:t>混凝土提升井筒。</w:t>
            </w:r>
          </w:p>
          <w:p w14:paraId="62C1F652">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原井圈为砖砌结构应拆除</w:t>
            </w:r>
            <w:r>
              <w:rPr>
                <w:rFonts w:ascii="宋体" w:hAnsi="宋体" w:cs="Helvetica"/>
                <w:color w:val="060607"/>
                <w:spacing w:val="4"/>
                <w:sz w:val="24"/>
                <w:szCs w:val="24"/>
              </w:rPr>
              <w:t xml:space="preserve">2 </w:t>
            </w:r>
            <w:r>
              <w:rPr>
                <w:rFonts w:hint="eastAsia" w:ascii="宋体" w:hAnsi="宋体" w:cs="Helvetica"/>
                <w:color w:val="060607"/>
                <w:spacing w:val="4"/>
                <w:sz w:val="24"/>
                <w:szCs w:val="24"/>
              </w:rPr>
              <w:t>皮砖后放置预制井圈或现浇</w:t>
            </w:r>
            <w:r>
              <w:rPr>
                <w:rFonts w:ascii="宋体" w:hAnsi="宋体" w:cs="Helvetica"/>
                <w:color w:val="060607"/>
                <w:spacing w:val="4"/>
                <w:sz w:val="24"/>
                <w:szCs w:val="24"/>
              </w:rPr>
              <w:t xml:space="preserve">C30 </w:t>
            </w:r>
            <w:r>
              <w:rPr>
                <w:rFonts w:hint="eastAsia" w:ascii="宋体" w:hAnsi="宋体" w:cs="Helvetica"/>
                <w:color w:val="060607"/>
                <w:spacing w:val="4"/>
                <w:sz w:val="24"/>
                <w:szCs w:val="24"/>
              </w:rPr>
              <w:t>钢筋混凝土井圈压顶修复。</w:t>
            </w:r>
          </w:p>
          <w:p w14:paraId="354605E5">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如果开挖基坑周边旧路面存在沉陷、不密实的情况应注浆加固处理。</w:t>
            </w:r>
          </w:p>
        </w:tc>
        <w:tc>
          <w:tcPr>
            <w:tcW w:w="2631" w:type="dxa"/>
          </w:tcPr>
          <w:p w14:paraId="01256C31">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80260" cy="175704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100652" cy="1774160"/>
                          </a:xfrm>
                          <a:prstGeom prst="rect">
                            <a:avLst/>
                          </a:prstGeom>
                          <a:noFill/>
                          <a:ln>
                            <a:noFill/>
                          </a:ln>
                        </pic:spPr>
                      </pic:pic>
                    </a:graphicData>
                  </a:graphic>
                </wp:inline>
              </w:drawing>
            </w:r>
          </w:p>
        </w:tc>
      </w:tr>
      <w:tr w14:paraId="44E1C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7F1545F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4</w:t>
            </w:r>
          </w:p>
        </w:tc>
        <w:tc>
          <w:tcPr>
            <w:tcW w:w="5057" w:type="dxa"/>
          </w:tcPr>
          <w:p w14:paraId="2C2EF180">
            <w:pPr>
              <w:autoSpaceDE w:val="0"/>
              <w:autoSpaceDN w:val="0"/>
              <w:adjustRightInd w:val="0"/>
              <w:rPr>
                <w:rFonts w:ascii="宋体" w:hAnsi="宋体" w:cs="Helvetica"/>
                <w:b/>
                <w:bCs/>
                <w:color w:val="060607"/>
                <w:spacing w:val="4"/>
                <w:sz w:val="24"/>
                <w:szCs w:val="24"/>
              </w:rPr>
            </w:pPr>
            <w:r>
              <w:rPr>
                <w:rFonts w:hint="eastAsia" w:ascii="宋体" w:hAnsi="宋体" w:cs="Helvetica"/>
                <w:b/>
                <w:bCs/>
                <w:color w:val="060607"/>
                <w:spacing w:val="4"/>
                <w:sz w:val="24"/>
                <w:szCs w:val="24"/>
              </w:rPr>
              <w:t>安装调节环</w:t>
            </w:r>
          </w:p>
          <w:p w14:paraId="2EA519EA">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调节环安装在井筒顶面，调节环安装必须平整、稳固，安装过程中应反复校核对中和横坡情况，确保调节环的中心与切圆中心一致，调节环安装的坡度与道路坡度一致。复核无误后应及时用膨胀螺栓进行调节环的固定，其高程应保证调节环顶面与井座下缘重叠</w:t>
            </w:r>
            <w:r>
              <w:rPr>
                <w:rFonts w:ascii="宋体" w:hAnsi="宋体" w:cs="Helvetica"/>
                <w:color w:val="060607"/>
                <w:spacing w:val="4"/>
                <w:sz w:val="24"/>
                <w:szCs w:val="24"/>
              </w:rPr>
              <w:t xml:space="preserve">30mm </w:t>
            </w:r>
            <w:r>
              <w:rPr>
                <w:rFonts w:hint="eastAsia" w:ascii="宋体" w:hAnsi="宋体" w:cs="Helvetica"/>
                <w:color w:val="060607"/>
                <w:spacing w:val="4"/>
                <w:sz w:val="24"/>
                <w:szCs w:val="24"/>
              </w:rPr>
              <w:t>以上。</w:t>
            </w:r>
          </w:p>
        </w:tc>
        <w:tc>
          <w:tcPr>
            <w:tcW w:w="2631" w:type="dxa"/>
          </w:tcPr>
          <w:p w14:paraId="01DB0FD0">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24050" cy="1764030"/>
                  <wp:effectExtent l="0" t="0" r="0" b="762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945550" cy="1784085"/>
                          </a:xfrm>
                          <a:prstGeom prst="rect">
                            <a:avLst/>
                          </a:prstGeom>
                          <a:noFill/>
                          <a:ln>
                            <a:noFill/>
                          </a:ln>
                        </pic:spPr>
                      </pic:pic>
                    </a:graphicData>
                  </a:graphic>
                </wp:inline>
              </w:drawing>
            </w:r>
          </w:p>
        </w:tc>
      </w:tr>
      <w:tr w14:paraId="58F0D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5B7A29AB">
            <w:pPr>
              <w:widowControl/>
              <w:tabs>
                <w:tab w:val="left" w:pos="720"/>
              </w:tabs>
              <w:textAlignment w:val="baseline"/>
              <w:rPr>
                <w:rFonts w:ascii="宋体" w:hAnsi="宋体" w:cs="Helvetica"/>
                <w:color w:val="060607"/>
                <w:spacing w:val="4"/>
                <w:sz w:val="24"/>
                <w:szCs w:val="24"/>
              </w:rPr>
            </w:pPr>
          </w:p>
        </w:tc>
        <w:tc>
          <w:tcPr>
            <w:tcW w:w="5057" w:type="dxa"/>
          </w:tcPr>
          <w:p w14:paraId="05B530A5">
            <w:pPr>
              <w:autoSpaceDE w:val="0"/>
              <w:autoSpaceDN w:val="0"/>
              <w:adjustRightInd w:val="0"/>
              <w:rPr>
                <w:rFonts w:ascii="宋体" w:hAnsi="宋体" w:cs="Helvetica"/>
                <w:b/>
                <w:bCs/>
                <w:color w:val="060607"/>
                <w:spacing w:val="4"/>
                <w:sz w:val="24"/>
                <w:szCs w:val="24"/>
              </w:rPr>
            </w:pPr>
            <w:r>
              <w:rPr>
                <w:rFonts w:hint="eastAsia" w:ascii="宋体" w:hAnsi="宋体" w:cs="Helvetica"/>
                <w:b/>
                <w:bCs/>
                <w:color w:val="060607"/>
                <w:spacing w:val="4"/>
                <w:sz w:val="24"/>
                <w:szCs w:val="24"/>
              </w:rPr>
              <w:t>安装限位井筒</w:t>
            </w:r>
          </w:p>
          <w:p w14:paraId="7AEC0865">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限位井筒宜制作成圆筒状，其外径和调节环内径相匹配。限位井筒安装前应涂刷防粘结剂，限位井筒垂直插入调节环内安放并确保稳固。</w:t>
            </w:r>
          </w:p>
          <w:p w14:paraId="7F81D313">
            <w:pPr>
              <w:autoSpaceDE w:val="0"/>
              <w:autoSpaceDN w:val="0"/>
              <w:adjustRightInd w:val="0"/>
              <w:rPr>
                <w:rFonts w:ascii="宋体" w:hAnsi="宋体" w:cs="Helvetica"/>
                <w:b/>
                <w:bCs/>
                <w:color w:val="060607"/>
                <w:spacing w:val="4"/>
                <w:sz w:val="24"/>
                <w:szCs w:val="24"/>
              </w:rPr>
            </w:pPr>
          </w:p>
        </w:tc>
        <w:tc>
          <w:tcPr>
            <w:tcW w:w="2631" w:type="dxa"/>
          </w:tcPr>
          <w:p w14:paraId="65C6FA9D">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47545" cy="1743710"/>
                  <wp:effectExtent l="0" t="0" r="0" b="88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975398" cy="1768658"/>
                          </a:xfrm>
                          <a:prstGeom prst="rect">
                            <a:avLst/>
                          </a:prstGeom>
                          <a:noFill/>
                          <a:ln>
                            <a:noFill/>
                          </a:ln>
                        </pic:spPr>
                      </pic:pic>
                    </a:graphicData>
                  </a:graphic>
                </wp:inline>
              </w:drawing>
            </w:r>
          </w:p>
        </w:tc>
      </w:tr>
      <w:tr w14:paraId="6EB7F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2B7D26EF">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5</w:t>
            </w:r>
          </w:p>
        </w:tc>
        <w:tc>
          <w:tcPr>
            <w:tcW w:w="5057" w:type="dxa"/>
          </w:tcPr>
          <w:p w14:paraId="05869BF4">
            <w:pPr>
              <w:rPr>
                <w:rFonts w:ascii="宋体" w:hAnsi="宋体" w:cs="Helvetica"/>
                <w:b/>
                <w:bCs/>
                <w:color w:val="060607"/>
                <w:spacing w:val="4"/>
                <w:sz w:val="24"/>
                <w:szCs w:val="24"/>
              </w:rPr>
            </w:pPr>
            <w:r>
              <w:rPr>
                <w:rFonts w:hint="eastAsia" w:ascii="宋体" w:hAnsi="宋体" w:cs="Helvetica"/>
                <w:b/>
                <w:bCs/>
                <w:color w:val="060607"/>
                <w:spacing w:val="4"/>
                <w:sz w:val="24"/>
                <w:szCs w:val="24"/>
              </w:rPr>
              <w:t>涂刷粘层油</w:t>
            </w:r>
          </w:p>
          <w:p w14:paraId="51D0160D">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沥青混合料分层回填之前，应先用粘层油认真涂刷切割范围内的接触面，用油量不低于</w:t>
            </w:r>
            <w:r>
              <w:rPr>
                <w:rFonts w:ascii="宋体" w:hAnsi="宋体" w:cs="Helvetica"/>
                <w:color w:val="060607"/>
                <w:spacing w:val="4"/>
                <w:sz w:val="24"/>
                <w:szCs w:val="24"/>
              </w:rPr>
              <w:t>1.5L/m</w:t>
            </w:r>
            <w:r>
              <w:rPr>
                <w:rFonts w:ascii="宋体" w:hAnsi="宋体" w:cs="Helvetica"/>
                <w:color w:val="060607"/>
                <w:spacing w:val="4"/>
                <w:sz w:val="24"/>
                <w:szCs w:val="24"/>
                <w:vertAlign w:val="superscript"/>
              </w:rPr>
              <w:t>2</w:t>
            </w:r>
            <w:r>
              <w:rPr>
                <w:rFonts w:hint="eastAsia" w:ascii="宋体" w:hAnsi="宋体" w:cs="Helvetica"/>
                <w:color w:val="060607"/>
                <w:spacing w:val="4"/>
                <w:sz w:val="24"/>
                <w:szCs w:val="24"/>
              </w:rPr>
              <w:t>。</w:t>
            </w:r>
          </w:p>
          <w:p w14:paraId="0F000755">
            <w:pPr>
              <w:rPr>
                <w:rFonts w:ascii="宋体" w:hAnsi="宋体" w:cs="Helvetica"/>
                <w:color w:val="060607"/>
                <w:spacing w:val="4"/>
                <w:sz w:val="24"/>
                <w:szCs w:val="24"/>
              </w:rPr>
            </w:pPr>
          </w:p>
        </w:tc>
        <w:tc>
          <w:tcPr>
            <w:tcW w:w="2631" w:type="dxa"/>
          </w:tcPr>
          <w:p w14:paraId="1EC94058">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03425" cy="1764665"/>
                  <wp:effectExtent l="0" t="0" r="0" b="698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035579" cy="1793107"/>
                          </a:xfrm>
                          <a:prstGeom prst="rect">
                            <a:avLst/>
                          </a:prstGeom>
                          <a:noFill/>
                          <a:ln>
                            <a:noFill/>
                          </a:ln>
                        </pic:spPr>
                      </pic:pic>
                    </a:graphicData>
                  </a:graphic>
                </wp:inline>
              </w:drawing>
            </w:r>
          </w:p>
        </w:tc>
      </w:tr>
      <w:tr w14:paraId="4C716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7C7EC112">
            <w:pPr>
              <w:widowControl/>
              <w:tabs>
                <w:tab w:val="left" w:pos="720"/>
              </w:tabs>
              <w:textAlignment w:val="baseline"/>
              <w:rPr>
                <w:rFonts w:ascii="宋体" w:hAnsi="宋体" w:cs="Helvetica"/>
                <w:color w:val="060607"/>
                <w:spacing w:val="4"/>
                <w:sz w:val="24"/>
                <w:szCs w:val="24"/>
              </w:rPr>
            </w:pPr>
          </w:p>
        </w:tc>
        <w:tc>
          <w:tcPr>
            <w:tcW w:w="5057" w:type="dxa"/>
          </w:tcPr>
          <w:p w14:paraId="2612BE33">
            <w:pPr>
              <w:rPr>
                <w:rFonts w:ascii="宋体" w:hAnsi="宋体" w:cs="Helvetica"/>
                <w:b/>
                <w:bCs/>
                <w:color w:val="060607"/>
                <w:spacing w:val="4"/>
                <w:sz w:val="24"/>
                <w:szCs w:val="24"/>
              </w:rPr>
            </w:pPr>
            <w:r>
              <w:rPr>
                <w:rFonts w:hint="eastAsia" w:ascii="宋体" w:hAnsi="宋体" w:cs="Helvetica"/>
                <w:b/>
                <w:bCs/>
                <w:color w:val="060607"/>
                <w:spacing w:val="4"/>
                <w:sz w:val="24"/>
                <w:szCs w:val="24"/>
              </w:rPr>
              <w:t>分层回填</w:t>
            </w:r>
          </w:p>
          <w:p w14:paraId="61ED4C71">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分层回填，分层夯实（每层不超过</w:t>
            </w:r>
            <w:r>
              <w:rPr>
                <w:rFonts w:ascii="宋体" w:hAnsi="宋体" w:cs="Helvetica"/>
                <w:color w:val="060607"/>
                <w:spacing w:val="4"/>
                <w:sz w:val="24"/>
                <w:szCs w:val="24"/>
              </w:rPr>
              <w:t>10cm</w:t>
            </w:r>
            <w:r>
              <w:rPr>
                <w:rFonts w:hint="eastAsia" w:ascii="宋体" w:hAnsi="宋体" w:cs="Helvetica"/>
                <w:color w:val="060607"/>
                <w:spacing w:val="4"/>
                <w:sz w:val="24"/>
                <w:szCs w:val="24"/>
              </w:rPr>
              <w:t>），上面层预留高度</w:t>
            </w:r>
            <w:r>
              <w:rPr>
                <w:rFonts w:ascii="宋体" w:hAnsi="宋体" w:cs="Helvetica"/>
                <w:color w:val="060607"/>
                <w:spacing w:val="4"/>
                <w:sz w:val="24"/>
                <w:szCs w:val="24"/>
              </w:rPr>
              <w:t>8cm</w:t>
            </w:r>
            <w:r>
              <w:rPr>
                <w:rFonts w:hint="eastAsia" w:ascii="宋体" w:hAnsi="宋体" w:cs="Helvetica"/>
                <w:color w:val="060607"/>
                <w:spacing w:val="4"/>
                <w:sz w:val="24"/>
                <w:szCs w:val="24"/>
              </w:rPr>
              <w:t>为宜。</w:t>
            </w:r>
          </w:p>
          <w:p w14:paraId="6378716B">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下层用小型夯击设备夯实，密实度不小于</w:t>
            </w:r>
            <w:r>
              <w:rPr>
                <w:rFonts w:ascii="宋体" w:hAnsi="宋体" w:cs="Helvetica"/>
                <w:color w:val="060607"/>
                <w:spacing w:val="4"/>
                <w:sz w:val="24"/>
                <w:szCs w:val="24"/>
              </w:rPr>
              <w:t>90%</w:t>
            </w:r>
            <w:r>
              <w:rPr>
                <w:rFonts w:hint="eastAsia" w:ascii="宋体" w:hAnsi="宋体" w:cs="Helvetica"/>
                <w:color w:val="060607"/>
                <w:spacing w:val="4"/>
                <w:sz w:val="24"/>
                <w:szCs w:val="24"/>
              </w:rPr>
              <w:t>。</w:t>
            </w:r>
          </w:p>
          <w:p w14:paraId="1218E316">
            <w:pPr>
              <w:rPr>
                <w:rFonts w:ascii="宋体" w:hAnsi="宋体" w:cs="Helvetica"/>
                <w:b/>
                <w:bCs/>
                <w:color w:val="060607"/>
                <w:spacing w:val="4"/>
                <w:sz w:val="24"/>
                <w:szCs w:val="24"/>
              </w:rPr>
            </w:pPr>
            <w:r>
              <w:rPr>
                <w:rFonts w:hint="eastAsia" w:ascii="宋体" w:hAnsi="宋体" w:cs="Helvetica"/>
                <w:color w:val="060607"/>
                <w:spacing w:val="4"/>
                <w:sz w:val="24"/>
                <w:szCs w:val="24"/>
              </w:rPr>
              <w:t>上层虚铺系数为</w:t>
            </w:r>
            <w:r>
              <w:rPr>
                <w:rFonts w:ascii="宋体" w:hAnsi="宋体" w:cs="Helvetica"/>
                <w:color w:val="060607"/>
                <w:spacing w:val="4"/>
                <w:sz w:val="24"/>
                <w:szCs w:val="24"/>
              </w:rPr>
              <w:t>1.3</w:t>
            </w:r>
            <w:r>
              <w:rPr>
                <w:rFonts w:hint="eastAsia" w:ascii="宋体" w:hAnsi="宋体" w:cs="Helvetica"/>
                <w:color w:val="060607"/>
                <w:spacing w:val="4"/>
                <w:sz w:val="24"/>
                <w:szCs w:val="24"/>
              </w:rPr>
              <w:t>，限位井筒周边沥青混凝土采用小型夯击设备初步夯实。</w:t>
            </w:r>
          </w:p>
        </w:tc>
        <w:tc>
          <w:tcPr>
            <w:tcW w:w="2631" w:type="dxa"/>
          </w:tcPr>
          <w:p w14:paraId="15778760">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42160" cy="2128520"/>
                  <wp:effectExtent l="0" t="0" r="0"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053738" cy="2140568"/>
                          </a:xfrm>
                          <a:prstGeom prst="rect">
                            <a:avLst/>
                          </a:prstGeom>
                          <a:noFill/>
                          <a:ln>
                            <a:noFill/>
                          </a:ln>
                        </pic:spPr>
                      </pic:pic>
                    </a:graphicData>
                  </a:graphic>
                </wp:inline>
              </w:drawing>
            </w:r>
          </w:p>
        </w:tc>
      </w:tr>
      <w:tr w14:paraId="3F3DF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7C714699">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6</w:t>
            </w:r>
          </w:p>
        </w:tc>
        <w:tc>
          <w:tcPr>
            <w:tcW w:w="5057" w:type="dxa"/>
          </w:tcPr>
          <w:p w14:paraId="4B802725">
            <w:pPr>
              <w:autoSpaceDE w:val="0"/>
              <w:autoSpaceDN w:val="0"/>
              <w:adjustRightInd w:val="0"/>
              <w:rPr>
                <w:rFonts w:ascii="宋体" w:hAnsi="宋体" w:cs="Helvetica"/>
                <w:b/>
                <w:bCs/>
                <w:color w:val="060607"/>
                <w:spacing w:val="4"/>
                <w:sz w:val="24"/>
                <w:szCs w:val="24"/>
              </w:rPr>
            </w:pPr>
            <w:r>
              <w:rPr>
                <w:rFonts w:hint="eastAsia" w:ascii="宋体" w:hAnsi="宋体" w:cs="Helvetica"/>
                <w:b/>
                <w:bCs/>
                <w:color w:val="060607"/>
                <w:spacing w:val="4"/>
                <w:sz w:val="24"/>
                <w:szCs w:val="24"/>
              </w:rPr>
              <w:t>安装井框井盖</w:t>
            </w:r>
          </w:p>
          <w:p w14:paraId="70D0B54A">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上面层沥青混合料摊铺完成后，先把限位井筒周边沥青混凝土进行初步夯实，然后轻轻地左右转动限位井筒使限位井筒和沥青混合料分离，最后小心地垂直向上将限位井筒取出。</w:t>
            </w:r>
          </w:p>
          <w:p w14:paraId="10A6A443">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采用三角吊装架将检查井盖吊装至井口正上方，对准井口缓慢地垂直放入。</w:t>
            </w:r>
          </w:p>
          <w:p w14:paraId="10AF8C21">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放置检查井盖前调整检查井盖铰链位置平行于来车方向，并安装在来车方向，放置过程用肉眼观察确保井座插入调节环中，并确保孔位周边沥青混合料不受外力变形、垮塌。</w:t>
            </w:r>
          </w:p>
        </w:tc>
        <w:tc>
          <w:tcPr>
            <w:tcW w:w="2631" w:type="dxa"/>
          </w:tcPr>
          <w:p w14:paraId="58DA9771">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12620" cy="2224405"/>
                  <wp:effectExtent l="0" t="0" r="0"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1926149" cy="2239827"/>
                          </a:xfrm>
                          <a:prstGeom prst="rect">
                            <a:avLst/>
                          </a:prstGeom>
                          <a:noFill/>
                          <a:ln>
                            <a:noFill/>
                          </a:ln>
                        </pic:spPr>
                      </pic:pic>
                    </a:graphicData>
                  </a:graphic>
                </wp:inline>
              </w:drawing>
            </w:r>
          </w:p>
        </w:tc>
      </w:tr>
      <w:tr w14:paraId="4CB03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4E2B1FD1">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8</w:t>
            </w:r>
          </w:p>
        </w:tc>
        <w:tc>
          <w:tcPr>
            <w:tcW w:w="5057" w:type="dxa"/>
          </w:tcPr>
          <w:p w14:paraId="4C17510A">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碾压密实</w:t>
            </w:r>
          </w:p>
          <w:p w14:paraId="205C926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检查井盖就位后，先用冲击夯初夯，再用小型压路机将盖板及周边来回振压2</w:t>
            </w:r>
            <w:r>
              <w:rPr>
                <w:rFonts w:ascii="宋体" w:hAnsi="宋体" w:cs="Helvetica"/>
                <w:color w:val="060607"/>
                <w:spacing w:val="4"/>
                <w:sz w:val="24"/>
                <w:szCs w:val="24"/>
              </w:rPr>
              <w:t>-3</w:t>
            </w:r>
            <w:r>
              <w:rPr>
                <w:rFonts w:hint="eastAsia" w:ascii="宋体" w:hAnsi="宋体" w:cs="Helvetica"/>
                <w:color w:val="060607"/>
                <w:spacing w:val="4"/>
                <w:sz w:val="24"/>
                <w:szCs w:val="24"/>
              </w:rPr>
              <w:t>遍，及时检测平整度，局部缺料处采用人工补料，接缝处用细料找补，补料后来回振压一遍，重复上述流程至井盖与沥青填充料合成一体并于路面平齐后静压1遍，补料过程中及时清理井盖上沥青及杂物。</w:t>
            </w:r>
          </w:p>
          <w:p w14:paraId="5E9D2629">
            <w:pPr>
              <w:widowControl/>
              <w:tabs>
                <w:tab w:val="left" w:pos="720"/>
              </w:tabs>
              <w:textAlignment w:val="baseline"/>
              <w:rPr>
                <w:rFonts w:ascii="宋体" w:hAnsi="宋体" w:cs="Helvetica"/>
                <w:color w:val="060607"/>
                <w:spacing w:val="4"/>
                <w:sz w:val="24"/>
                <w:szCs w:val="24"/>
              </w:rPr>
            </w:pPr>
          </w:p>
        </w:tc>
        <w:tc>
          <w:tcPr>
            <w:tcW w:w="2631" w:type="dxa"/>
          </w:tcPr>
          <w:p w14:paraId="1C6EC11F">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24050" cy="188658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938263" cy="1900472"/>
                          </a:xfrm>
                          <a:prstGeom prst="rect">
                            <a:avLst/>
                          </a:prstGeom>
                          <a:noFill/>
                          <a:ln>
                            <a:noFill/>
                          </a:ln>
                        </pic:spPr>
                      </pic:pic>
                    </a:graphicData>
                  </a:graphic>
                </wp:inline>
              </w:drawing>
            </w:r>
          </w:p>
        </w:tc>
      </w:tr>
      <w:tr w14:paraId="30603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dxa"/>
          </w:tcPr>
          <w:p w14:paraId="1A60B00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9</w:t>
            </w:r>
          </w:p>
        </w:tc>
        <w:tc>
          <w:tcPr>
            <w:tcW w:w="5057" w:type="dxa"/>
          </w:tcPr>
          <w:p w14:paraId="45787CB6">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开放交通</w:t>
            </w:r>
          </w:p>
          <w:p w14:paraId="24BA2A37">
            <w:pPr>
              <w:autoSpaceDE w:val="0"/>
              <w:autoSpaceDN w:val="0"/>
              <w:adjustRightInd w:val="0"/>
              <w:rPr>
                <w:rFonts w:ascii="宋体" w:hAnsi="宋体" w:cs="Helvetica"/>
                <w:color w:val="060607"/>
                <w:spacing w:val="4"/>
                <w:sz w:val="24"/>
                <w:szCs w:val="24"/>
              </w:rPr>
            </w:pPr>
            <w:r>
              <w:rPr>
                <w:rFonts w:hint="eastAsia" w:ascii="宋体" w:hAnsi="宋体" w:cs="Helvetica"/>
                <w:color w:val="060607"/>
                <w:spacing w:val="4"/>
                <w:sz w:val="24"/>
                <w:szCs w:val="24"/>
              </w:rPr>
              <w:t>完成振压沥青及井盖板后，应及时将井盖表面及周边清扫干净。洒水降温养护，待沥青混凝土温度低于</w:t>
            </w:r>
            <w:r>
              <w:rPr>
                <w:rFonts w:ascii="宋体" w:hAnsi="宋体" w:cs="Helvetica"/>
                <w:color w:val="060607"/>
                <w:spacing w:val="4"/>
                <w:sz w:val="24"/>
                <w:szCs w:val="24"/>
              </w:rPr>
              <w:t>50</w:t>
            </w:r>
            <w:r>
              <w:rPr>
                <w:rFonts w:hint="eastAsia" w:ascii="宋体" w:hAnsi="宋体" w:cs="Helvetica"/>
                <w:color w:val="060607"/>
                <w:spacing w:val="4"/>
                <w:sz w:val="24"/>
                <w:szCs w:val="24"/>
              </w:rPr>
              <w:t>℃时再拆除围挡开放交通。</w:t>
            </w:r>
          </w:p>
        </w:tc>
        <w:tc>
          <w:tcPr>
            <w:tcW w:w="2631" w:type="dxa"/>
          </w:tcPr>
          <w:p w14:paraId="7BE11760">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899920" cy="2085340"/>
                  <wp:effectExtent l="0" t="0" r="508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1911804" cy="2098130"/>
                          </a:xfrm>
                          <a:prstGeom prst="rect">
                            <a:avLst/>
                          </a:prstGeom>
                          <a:noFill/>
                          <a:ln>
                            <a:noFill/>
                          </a:ln>
                        </pic:spPr>
                      </pic:pic>
                    </a:graphicData>
                  </a:graphic>
                </wp:inline>
              </w:drawing>
            </w:r>
          </w:p>
        </w:tc>
      </w:tr>
    </w:tbl>
    <w:p w14:paraId="2D5953B0">
      <w:pPr>
        <w:widowControl/>
        <w:shd w:val="clear" w:color="auto" w:fill="FFFFFF"/>
        <w:tabs>
          <w:tab w:val="left" w:pos="720"/>
        </w:tabs>
        <w:textAlignment w:val="baseline"/>
        <w:rPr>
          <w:rFonts w:ascii="宋体" w:hAnsi="宋体" w:cs="Helvetica"/>
          <w:color w:val="060607"/>
          <w:spacing w:val="4"/>
          <w:szCs w:val="28"/>
        </w:rPr>
      </w:pPr>
    </w:p>
    <w:p w14:paraId="3891F7EF">
      <w:pPr>
        <w:pStyle w:val="4"/>
        <w:rPr>
          <w:b/>
          <w:bCs w:val="0"/>
        </w:rPr>
      </w:pPr>
      <w:r>
        <w:rPr>
          <w:b/>
          <w:bCs w:val="0"/>
        </w:rPr>
        <w:t>唧浆</w:t>
      </w:r>
    </w:p>
    <w:p w14:paraId="5F003B67">
      <w:pPr>
        <w:widowControl/>
        <w:numPr>
          <w:ilvl w:val="0"/>
          <w:numId w:val="10"/>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可采用注浆固化的方法对病害内部进行处理，或进行局部翻建改造处理。</w:t>
      </w:r>
    </w:p>
    <w:p w14:paraId="3B6DDEFD">
      <w:pPr>
        <w:widowControl/>
        <w:numPr>
          <w:ilvl w:val="0"/>
          <w:numId w:val="10"/>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应对原路面中央分隔带、路肩、路基边坡、边沟及相应排水设施进行排查，消除积水隐患。</w:t>
      </w:r>
    </w:p>
    <w:p w14:paraId="4EB96C56">
      <w:pPr>
        <w:pStyle w:val="4"/>
      </w:pPr>
      <w:r>
        <w:t>泛油</w:t>
      </w:r>
    </w:p>
    <w:p w14:paraId="665B0B5D">
      <w:pPr>
        <w:widowControl/>
        <w:numPr>
          <w:ilvl w:val="0"/>
          <w:numId w:val="11"/>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轻微泛油的路段，可撒3mm</w:t>
      </w:r>
      <w:r>
        <w:rPr>
          <w:rFonts w:cs="Times New Roman"/>
          <w:color w:val="060607"/>
          <w:spacing w:val="4"/>
          <w:szCs w:val="28"/>
        </w:rPr>
        <w:t>~</w:t>
      </w:r>
      <w:r>
        <w:rPr>
          <w:rFonts w:ascii="宋体" w:hAnsi="宋体" w:cs="Helvetica"/>
          <w:color w:val="060607"/>
          <w:spacing w:val="4"/>
          <w:szCs w:val="28"/>
        </w:rPr>
        <w:t>5mm粒径的石屑或粗砂处治。</w:t>
      </w:r>
    </w:p>
    <w:p w14:paraId="2642FAAF">
      <w:pPr>
        <w:widowControl/>
        <w:numPr>
          <w:ilvl w:val="0"/>
          <w:numId w:val="11"/>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较重泛油的路段，可先撒5mm</w:t>
      </w:r>
      <w:r>
        <w:rPr>
          <w:rFonts w:cs="Times New Roman"/>
          <w:color w:val="060607"/>
          <w:spacing w:val="4"/>
          <w:szCs w:val="28"/>
        </w:rPr>
        <w:t>~</w:t>
      </w:r>
      <w:r>
        <w:rPr>
          <w:rFonts w:ascii="宋体" w:hAnsi="宋体" w:cs="Helvetica"/>
          <w:color w:val="060607"/>
          <w:spacing w:val="4"/>
          <w:szCs w:val="28"/>
        </w:rPr>
        <w:t>10mm粒径的石屑采用压路机碾压。待稳定后，再撒3mm</w:t>
      </w:r>
      <w:r>
        <w:rPr>
          <w:rFonts w:cs="Times New Roman"/>
          <w:color w:val="060607"/>
          <w:spacing w:val="4"/>
          <w:szCs w:val="28"/>
        </w:rPr>
        <w:t>~</w:t>
      </w:r>
      <w:r>
        <w:rPr>
          <w:rFonts w:ascii="宋体" w:hAnsi="宋体" w:cs="Helvetica"/>
          <w:color w:val="060607"/>
          <w:spacing w:val="4"/>
          <w:szCs w:val="28"/>
        </w:rPr>
        <w:t>5mm粒径的石屑或粗砂处治。</w:t>
      </w:r>
    </w:p>
    <w:p w14:paraId="57A975AE">
      <w:pPr>
        <w:widowControl/>
        <w:numPr>
          <w:ilvl w:val="0"/>
          <w:numId w:val="11"/>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泛油路段，也可将面层铣刨清除后，重铺面层。</w:t>
      </w:r>
    </w:p>
    <w:p w14:paraId="256F5FBB">
      <w:pPr>
        <w:pStyle w:val="2"/>
        <w:spacing w:before="156" w:after="156"/>
      </w:pPr>
      <w:bookmarkStart w:id="50" w:name="_Toc200377217"/>
      <w:r>
        <w:rPr>
          <w:rFonts w:hint="eastAsia"/>
        </w:rPr>
        <w:t>水泥混凝土路面养护</w:t>
      </w:r>
      <w:bookmarkEnd w:id="50"/>
    </w:p>
    <w:p w14:paraId="2168DB66">
      <w:pPr>
        <w:pStyle w:val="3"/>
        <w:spacing w:before="156" w:after="156"/>
      </w:pPr>
      <w:bookmarkStart w:id="51" w:name="_Toc200377218"/>
      <w:r>
        <w:rPr>
          <w:rFonts w:hint="eastAsia"/>
        </w:rPr>
        <w:t>常见病害</w:t>
      </w:r>
      <w:bookmarkEnd w:id="51"/>
    </w:p>
    <w:p w14:paraId="3C8411F9">
      <w:r>
        <w:rPr>
          <w:rFonts w:hint="eastAsia"/>
        </w:rPr>
        <w:t>水泥混凝土路面常见病害类型见表3。</w:t>
      </w:r>
    </w:p>
    <w:p w14:paraId="0042A8E3">
      <w:pPr>
        <w:spacing w:before="156" w:beforeLines="50" w:after="156" w:afterLines="50"/>
        <w:jc w:val="center"/>
        <w:rPr>
          <w:rFonts w:ascii="黑体" w:hAnsi="黑体" w:eastAsia="黑体"/>
          <w:sz w:val="24"/>
          <w:szCs w:val="24"/>
        </w:rPr>
      </w:pPr>
      <w:r>
        <w:rPr>
          <w:rFonts w:hint="eastAsia" w:ascii="黑体" w:hAnsi="黑体" w:eastAsia="黑体"/>
          <w:sz w:val="24"/>
          <w:szCs w:val="24"/>
        </w:rPr>
        <w:t>表3 水泥混凝土路面常见病害类型</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1038"/>
        <w:gridCol w:w="3163"/>
        <w:gridCol w:w="3728"/>
      </w:tblGrid>
      <w:tr w14:paraId="54C99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1" w:type="pct"/>
            <w:gridSpan w:val="2"/>
          </w:tcPr>
          <w:p w14:paraId="241B0905">
            <w:pPr>
              <w:jc w:val="center"/>
              <w:rPr>
                <w:rFonts w:ascii="宋体" w:hAnsi="宋体"/>
                <w:sz w:val="24"/>
                <w:szCs w:val="24"/>
              </w:rPr>
            </w:pPr>
            <w:r>
              <w:rPr>
                <w:rFonts w:hint="eastAsia" w:ascii="宋体" w:hAnsi="宋体"/>
                <w:sz w:val="24"/>
                <w:szCs w:val="24"/>
              </w:rPr>
              <w:t>病害类型</w:t>
            </w:r>
          </w:p>
        </w:tc>
        <w:tc>
          <w:tcPr>
            <w:tcW w:w="1903" w:type="pct"/>
          </w:tcPr>
          <w:p w14:paraId="67456D25">
            <w:pPr>
              <w:rPr>
                <w:rFonts w:ascii="宋体" w:hAnsi="宋体"/>
                <w:sz w:val="24"/>
                <w:szCs w:val="24"/>
              </w:rPr>
            </w:pPr>
            <w:r>
              <w:rPr>
                <w:rFonts w:hint="eastAsia" w:ascii="宋体" w:hAnsi="宋体"/>
                <w:sz w:val="24"/>
                <w:szCs w:val="24"/>
              </w:rPr>
              <w:t>病害形状</w:t>
            </w:r>
          </w:p>
        </w:tc>
        <w:tc>
          <w:tcPr>
            <w:tcW w:w="2047" w:type="pct"/>
          </w:tcPr>
          <w:p w14:paraId="08E0E5DD">
            <w:pPr>
              <w:rPr>
                <w:rFonts w:ascii="宋体" w:hAnsi="宋体"/>
                <w:sz w:val="24"/>
                <w:szCs w:val="24"/>
              </w:rPr>
            </w:pPr>
            <w:r>
              <w:rPr>
                <w:rFonts w:hint="eastAsia" w:ascii="宋体" w:hAnsi="宋体"/>
                <w:sz w:val="24"/>
                <w:szCs w:val="24"/>
              </w:rPr>
              <w:t>图例</w:t>
            </w:r>
          </w:p>
        </w:tc>
      </w:tr>
      <w:tr w14:paraId="75481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restart"/>
            <w:vAlign w:val="center"/>
          </w:tcPr>
          <w:p w14:paraId="105D6533">
            <w:pPr>
              <w:rPr>
                <w:rFonts w:ascii="宋体" w:hAnsi="宋体"/>
                <w:sz w:val="24"/>
                <w:szCs w:val="24"/>
              </w:rPr>
            </w:pPr>
            <w:r>
              <w:rPr>
                <w:rFonts w:ascii="宋体" w:hAnsi="宋体" w:cs="Helvetica"/>
                <w:color w:val="060607"/>
                <w:spacing w:val="4"/>
                <w:sz w:val="24"/>
                <w:szCs w:val="24"/>
              </w:rPr>
              <w:t>裂缝类</w:t>
            </w:r>
          </w:p>
        </w:tc>
        <w:tc>
          <w:tcPr>
            <w:tcW w:w="656" w:type="pct"/>
            <w:vAlign w:val="center"/>
          </w:tcPr>
          <w:p w14:paraId="451F8316">
            <w:pPr>
              <w:rPr>
                <w:rFonts w:ascii="宋体" w:hAnsi="宋体"/>
                <w:sz w:val="24"/>
                <w:szCs w:val="24"/>
              </w:rPr>
            </w:pPr>
            <w:r>
              <w:rPr>
                <w:rFonts w:ascii="宋体" w:hAnsi="宋体" w:cs="Helvetica"/>
                <w:color w:val="060607"/>
                <w:spacing w:val="4"/>
                <w:sz w:val="24"/>
                <w:szCs w:val="24"/>
              </w:rPr>
              <w:t>线裂</w:t>
            </w:r>
          </w:p>
        </w:tc>
        <w:tc>
          <w:tcPr>
            <w:tcW w:w="1903" w:type="pct"/>
            <w:vAlign w:val="center"/>
          </w:tcPr>
          <w:p w14:paraId="489930CF">
            <w:pPr>
              <w:rPr>
                <w:rFonts w:ascii="宋体" w:hAnsi="宋体"/>
                <w:sz w:val="24"/>
                <w:szCs w:val="24"/>
              </w:rPr>
            </w:pPr>
            <w:r>
              <w:rPr>
                <w:rFonts w:ascii="宋体" w:hAnsi="宋体" w:cs="Helvetica"/>
                <w:color w:val="060607"/>
                <w:spacing w:val="4"/>
                <w:sz w:val="24"/>
                <w:szCs w:val="24"/>
              </w:rPr>
              <w:t>路面因不均匀沉陷或胀缩而造成板体断裂。包括纵向裂缝、横向裂缝和斜向裂缝，裂缝将板分成两块</w:t>
            </w:r>
          </w:p>
        </w:tc>
        <w:tc>
          <w:tcPr>
            <w:tcW w:w="2047" w:type="pct"/>
          </w:tcPr>
          <w:p w14:paraId="45808543">
            <w:pPr>
              <w:rPr>
                <w:rFonts w:ascii="宋体" w:hAnsi="宋体"/>
                <w:sz w:val="24"/>
                <w:szCs w:val="24"/>
              </w:rPr>
            </w:pPr>
            <w:r>
              <w:rPr>
                <w:rFonts w:ascii="宋体" w:hAnsi="宋体"/>
                <w:sz w:val="24"/>
                <w:szCs w:val="24"/>
              </w:rPr>
              <w:drawing>
                <wp:inline distT="0" distB="0" distL="0" distR="0">
                  <wp:extent cx="1986915" cy="186880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014750" cy="1894415"/>
                          </a:xfrm>
                          <a:prstGeom prst="rect">
                            <a:avLst/>
                          </a:prstGeom>
                          <a:noFill/>
                          <a:ln>
                            <a:noFill/>
                          </a:ln>
                        </pic:spPr>
                      </pic:pic>
                    </a:graphicData>
                  </a:graphic>
                </wp:inline>
              </w:drawing>
            </w:r>
          </w:p>
        </w:tc>
      </w:tr>
      <w:tr w14:paraId="232AF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vAlign w:val="center"/>
          </w:tcPr>
          <w:p w14:paraId="1CC0B5BF">
            <w:pPr>
              <w:rPr>
                <w:rFonts w:ascii="宋体" w:hAnsi="宋体"/>
                <w:sz w:val="24"/>
                <w:szCs w:val="24"/>
              </w:rPr>
            </w:pPr>
          </w:p>
        </w:tc>
        <w:tc>
          <w:tcPr>
            <w:tcW w:w="656" w:type="pct"/>
            <w:vAlign w:val="center"/>
          </w:tcPr>
          <w:p w14:paraId="2D259CCF">
            <w:pPr>
              <w:rPr>
                <w:rFonts w:ascii="宋体" w:hAnsi="宋体"/>
                <w:sz w:val="24"/>
                <w:szCs w:val="24"/>
              </w:rPr>
            </w:pPr>
            <w:r>
              <w:rPr>
                <w:rFonts w:ascii="宋体" w:hAnsi="宋体" w:cs="Helvetica"/>
                <w:color w:val="060607"/>
                <w:spacing w:val="4"/>
                <w:sz w:val="24"/>
                <w:szCs w:val="24"/>
              </w:rPr>
              <w:t>板角断裂</w:t>
            </w:r>
          </w:p>
        </w:tc>
        <w:tc>
          <w:tcPr>
            <w:tcW w:w="1903" w:type="pct"/>
            <w:vAlign w:val="center"/>
          </w:tcPr>
          <w:p w14:paraId="30A3ED03">
            <w:pPr>
              <w:rPr>
                <w:rFonts w:ascii="宋体" w:hAnsi="宋体"/>
                <w:sz w:val="24"/>
                <w:szCs w:val="24"/>
              </w:rPr>
            </w:pPr>
            <w:r>
              <w:rPr>
                <w:rFonts w:ascii="宋体" w:hAnsi="宋体" w:cs="Helvetica"/>
                <w:color w:val="060607"/>
                <w:spacing w:val="4"/>
                <w:sz w:val="24"/>
                <w:szCs w:val="24"/>
              </w:rPr>
              <w:t>垂直贯穿整块板厚，与接缝相交的裂缝。板角到裂缝两端的距离小于或等于板长的一半</w:t>
            </w:r>
          </w:p>
        </w:tc>
        <w:tc>
          <w:tcPr>
            <w:tcW w:w="2047" w:type="pct"/>
          </w:tcPr>
          <w:p w14:paraId="3FC6F480">
            <w:pPr>
              <w:rPr>
                <w:rFonts w:ascii="宋体" w:hAnsi="宋体"/>
                <w:sz w:val="24"/>
                <w:szCs w:val="24"/>
              </w:rPr>
            </w:pPr>
            <w:r>
              <w:rPr>
                <w:position w:val="-45"/>
              </w:rPr>
              <w:drawing>
                <wp:inline distT="0" distB="0" distL="0" distR="0">
                  <wp:extent cx="1971675" cy="1423670"/>
                  <wp:effectExtent l="0" t="0" r="9525" b="508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67">
                            <a:extLst>
                              <a:ext uri="{28A0092B-C50C-407E-A947-70E740481C1C}">
                                <a14:useLocalDpi xmlns:a14="http://schemas.microsoft.com/office/drawing/2010/main" val="0"/>
                              </a:ext>
                            </a:extLst>
                          </a:blip>
                          <a:stretch>
                            <a:fillRect/>
                          </a:stretch>
                        </pic:blipFill>
                        <pic:spPr>
                          <a:xfrm>
                            <a:off x="0" y="0"/>
                            <a:ext cx="1971675" cy="1423670"/>
                          </a:xfrm>
                          <a:prstGeom prst="rect">
                            <a:avLst/>
                          </a:prstGeom>
                        </pic:spPr>
                      </pic:pic>
                    </a:graphicData>
                  </a:graphic>
                </wp:inline>
              </w:drawing>
            </w:r>
          </w:p>
        </w:tc>
      </w:tr>
      <w:tr w14:paraId="0B4BE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vAlign w:val="center"/>
          </w:tcPr>
          <w:p w14:paraId="59A7E70C">
            <w:pPr>
              <w:rPr>
                <w:rFonts w:ascii="宋体" w:hAnsi="宋体"/>
                <w:sz w:val="24"/>
                <w:szCs w:val="24"/>
              </w:rPr>
            </w:pPr>
          </w:p>
        </w:tc>
        <w:tc>
          <w:tcPr>
            <w:tcW w:w="656" w:type="pct"/>
            <w:vAlign w:val="center"/>
          </w:tcPr>
          <w:p w14:paraId="387CA7BB">
            <w:pPr>
              <w:rPr>
                <w:rFonts w:ascii="宋体" w:hAnsi="宋体"/>
                <w:sz w:val="24"/>
                <w:szCs w:val="24"/>
              </w:rPr>
            </w:pPr>
            <w:bookmarkStart w:id="52" w:name="OLE_LINK9"/>
            <w:bookmarkStart w:id="53" w:name="OLE_LINK8"/>
            <w:r>
              <w:rPr>
                <w:rFonts w:hint="eastAsia" w:ascii="宋体" w:hAnsi="宋体" w:cs="Helvetica"/>
                <w:color w:val="060607"/>
                <w:spacing w:val="4"/>
                <w:sz w:val="24"/>
                <w:szCs w:val="24"/>
              </w:rPr>
              <w:t>边角</w:t>
            </w:r>
            <w:r>
              <w:rPr>
                <w:rFonts w:ascii="宋体" w:hAnsi="宋体" w:cs="Helvetica"/>
                <w:color w:val="060607"/>
                <w:spacing w:val="4"/>
                <w:sz w:val="24"/>
                <w:szCs w:val="24"/>
              </w:rPr>
              <w:t>裂缝</w:t>
            </w:r>
            <w:bookmarkEnd w:id="52"/>
            <w:bookmarkEnd w:id="53"/>
          </w:p>
        </w:tc>
        <w:tc>
          <w:tcPr>
            <w:tcW w:w="1903" w:type="pct"/>
            <w:vAlign w:val="center"/>
          </w:tcPr>
          <w:p w14:paraId="438D0854">
            <w:pPr>
              <w:rPr>
                <w:rFonts w:ascii="宋体" w:hAnsi="宋体"/>
                <w:sz w:val="24"/>
                <w:szCs w:val="24"/>
              </w:rPr>
            </w:pPr>
            <w:r>
              <w:rPr>
                <w:rFonts w:ascii="宋体" w:hAnsi="宋体" w:cs="Helvetica"/>
                <w:color w:val="060607"/>
                <w:spacing w:val="4"/>
                <w:sz w:val="24"/>
                <w:szCs w:val="24"/>
              </w:rPr>
              <w:t>与接缝、自由边或线裂平行的新月形裂缝，细小裂缝处呈暗色</w:t>
            </w:r>
          </w:p>
        </w:tc>
        <w:tc>
          <w:tcPr>
            <w:tcW w:w="2047" w:type="pct"/>
          </w:tcPr>
          <w:p w14:paraId="4A48CBCD">
            <w:pPr>
              <w:rPr>
                <w:rFonts w:ascii="宋体" w:hAnsi="宋体"/>
                <w:sz w:val="24"/>
                <w:szCs w:val="24"/>
              </w:rPr>
            </w:pPr>
          </w:p>
        </w:tc>
      </w:tr>
      <w:tr w14:paraId="64E92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vAlign w:val="center"/>
          </w:tcPr>
          <w:p w14:paraId="549480F9">
            <w:pPr>
              <w:rPr>
                <w:rFonts w:ascii="宋体" w:hAnsi="宋体"/>
                <w:sz w:val="24"/>
                <w:szCs w:val="24"/>
              </w:rPr>
            </w:pPr>
          </w:p>
        </w:tc>
        <w:tc>
          <w:tcPr>
            <w:tcW w:w="656" w:type="pct"/>
            <w:vAlign w:val="center"/>
          </w:tcPr>
          <w:p w14:paraId="2AAAE62F">
            <w:pPr>
              <w:rPr>
                <w:rFonts w:ascii="宋体" w:hAnsi="宋体"/>
                <w:sz w:val="24"/>
                <w:szCs w:val="24"/>
              </w:rPr>
            </w:pPr>
            <w:r>
              <w:rPr>
                <w:rFonts w:ascii="宋体" w:hAnsi="宋体" w:cs="Helvetica"/>
                <w:color w:val="060607"/>
                <w:spacing w:val="4"/>
                <w:sz w:val="24"/>
                <w:szCs w:val="24"/>
              </w:rPr>
              <w:t>交叉裂缝和破碎板</w:t>
            </w:r>
          </w:p>
        </w:tc>
        <w:tc>
          <w:tcPr>
            <w:tcW w:w="1903" w:type="pct"/>
            <w:vAlign w:val="center"/>
          </w:tcPr>
          <w:p w14:paraId="1213188B">
            <w:pPr>
              <w:rPr>
                <w:rFonts w:ascii="宋体" w:hAnsi="宋体"/>
                <w:sz w:val="24"/>
                <w:szCs w:val="24"/>
              </w:rPr>
            </w:pPr>
            <w:r>
              <w:rPr>
                <w:rFonts w:ascii="宋体" w:hAnsi="宋体" w:cs="Helvetica"/>
                <w:color w:val="060607"/>
                <w:spacing w:val="4"/>
                <w:sz w:val="24"/>
                <w:szCs w:val="24"/>
              </w:rPr>
              <w:t>裂缝将板分成三块或三块以上</w:t>
            </w:r>
          </w:p>
        </w:tc>
        <w:tc>
          <w:tcPr>
            <w:tcW w:w="2047" w:type="pct"/>
          </w:tcPr>
          <w:p w14:paraId="616C08A1">
            <w:pPr>
              <w:rPr>
                <w:rFonts w:ascii="宋体" w:hAnsi="宋体"/>
                <w:sz w:val="24"/>
                <w:szCs w:val="24"/>
              </w:rPr>
            </w:pPr>
            <w:r>
              <w:rPr>
                <w:position w:val="-45"/>
              </w:rPr>
              <w:drawing>
                <wp:inline distT="0" distB="0" distL="0" distR="0">
                  <wp:extent cx="2019300" cy="170053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68">
                            <a:extLst>
                              <a:ext uri="{28A0092B-C50C-407E-A947-70E740481C1C}">
                                <a14:useLocalDpi xmlns:a14="http://schemas.microsoft.com/office/drawing/2010/main" val="0"/>
                              </a:ext>
                            </a:extLst>
                          </a:blip>
                          <a:stretch>
                            <a:fillRect/>
                          </a:stretch>
                        </pic:blipFill>
                        <pic:spPr>
                          <a:xfrm>
                            <a:off x="0" y="0"/>
                            <a:ext cx="2019300" cy="1700530"/>
                          </a:xfrm>
                          <a:prstGeom prst="rect">
                            <a:avLst/>
                          </a:prstGeom>
                        </pic:spPr>
                      </pic:pic>
                    </a:graphicData>
                  </a:graphic>
                </wp:inline>
              </w:drawing>
            </w:r>
          </w:p>
        </w:tc>
      </w:tr>
      <w:tr w14:paraId="7CA23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restart"/>
            <w:vAlign w:val="center"/>
          </w:tcPr>
          <w:p w14:paraId="2EAF568E">
            <w:pPr>
              <w:rPr>
                <w:rFonts w:ascii="宋体" w:hAnsi="宋体"/>
                <w:sz w:val="24"/>
                <w:szCs w:val="24"/>
              </w:rPr>
            </w:pPr>
            <w:r>
              <w:rPr>
                <w:rFonts w:ascii="宋体" w:hAnsi="宋体" w:cs="Helvetica"/>
                <w:color w:val="060607"/>
                <w:spacing w:val="4"/>
                <w:sz w:val="24"/>
                <w:szCs w:val="24"/>
              </w:rPr>
              <w:t>接缝破坏类</w:t>
            </w:r>
          </w:p>
        </w:tc>
        <w:tc>
          <w:tcPr>
            <w:tcW w:w="656" w:type="pct"/>
            <w:vAlign w:val="center"/>
          </w:tcPr>
          <w:p w14:paraId="5C676A68">
            <w:pPr>
              <w:rPr>
                <w:rFonts w:ascii="宋体" w:hAnsi="宋体"/>
                <w:sz w:val="24"/>
                <w:szCs w:val="24"/>
              </w:rPr>
            </w:pPr>
            <w:r>
              <w:rPr>
                <w:rFonts w:ascii="宋体" w:hAnsi="宋体" w:cs="Helvetica"/>
                <w:color w:val="060607"/>
                <w:spacing w:val="4"/>
                <w:sz w:val="24"/>
                <w:szCs w:val="24"/>
              </w:rPr>
              <w:t>接缝料损坏</w:t>
            </w:r>
          </w:p>
        </w:tc>
        <w:tc>
          <w:tcPr>
            <w:tcW w:w="1903" w:type="pct"/>
            <w:vAlign w:val="center"/>
          </w:tcPr>
          <w:p w14:paraId="17CE1B06">
            <w:pPr>
              <w:rPr>
                <w:rFonts w:ascii="宋体" w:hAnsi="宋体"/>
                <w:sz w:val="24"/>
                <w:szCs w:val="24"/>
              </w:rPr>
            </w:pPr>
            <w:r>
              <w:rPr>
                <w:rFonts w:ascii="宋体" w:hAnsi="宋体" w:cs="Helvetica"/>
                <w:color w:val="060607"/>
                <w:spacing w:val="4"/>
                <w:sz w:val="24"/>
                <w:szCs w:val="24"/>
              </w:rPr>
              <w:t>填缝料剥落、挤出、老化和缝内无填缝料</w:t>
            </w:r>
          </w:p>
        </w:tc>
        <w:tc>
          <w:tcPr>
            <w:tcW w:w="2047" w:type="pct"/>
          </w:tcPr>
          <w:p w14:paraId="389E13A6">
            <w:pPr>
              <w:rPr>
                <w:rFonts w:ascii="宋体" w:hAnsi="宋体"/>
                <w:sz w:val="24"/>
                <w:szCs w:val="24"/>
              </w:rPr>
            </w:pPr>
            <w:r>
              <w:rPr>
                <w:rFonts w:ascii="宋体" w:hAnsi="宋体"/>
                <w:sz w:val="24"/>
                <w:szCs w:val="24"/>
              </w:rPr>
              <w:drawing>
                <wp:inline distT="0" distB="0" distL="0" distR="0">
                  <wp:extent cx="2042160" cy="1541780"/>
                  <wp:effectExtent l="0" t="0" r="0" b="127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2064635" cy="1558660"/>
                          </a:xfrm>
                          <a:prstGeom prst="rect">
                            <a:avLst/>
                          </a:prstGeom>
                          <a:noFill/>
                          <a:ln>
                            <a:noFill/>
                          </a:ln>
                        </pic:spPr>
                      </pic:pic>
                    </a:graphicData>
                  </a:graphic>
                </wp:inline>
              </w:drawing>
            </w:r>
          </w:p>
        </w:tc>
      </w:tr>
      <w:tr w14:paraId="67508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vAlign w:val="center"/>
          </w:tcPr>
          <w:p w14:paraId="62C0BAC3">
            <w:pPr>
              <w:rPr>
                <w:rFonts w:ascii="宋体" w:hAnsi="宋体"/>
                <w:sz w:val="24"/>
                <w:szCs w:val="24"/>
              </w:rPr>
            </w:pPr>
          </w:p>
        </w:tc>
        <w:tc>
          <w:tcPr>
            <w:tcW w:w="656" w:type="pct"/>
            <w:vAlign w:val="center"/>
          </w:tcPr>
          <w:p w14:paraId="4FE5A524">
            <w:pPr>
              <w:rPr>
                <w:rFonts w:ascii="宋体" w:hAnsi="宋体"/>
                <w:sz w:val="24"/>
                <w:szCs w:val="24"/>
              </w:rPr>
            </w:pPr>
            <w:r>
              <w:rPr>
                <w:rFonts w:ascii="宋体" w:hAnsi="宋体" w:cs="Helvetica"/>
                <w:color w:val="060607"/>
                <w:spacing w:val="4"/>
                <w:sz w:val="24"/>
                <w:szCs w:val="24"/>
              </w:rPr>
              <w:t>边角剥落</w:t>
            </w:r>
          </w:p>
        </w:tc>
        <w:tc>
          <w:tcPr>
            <w:tcW w:w="1903" w:type="pct"/>
            <w:vAlign w:val="center"/>
          </w:tcPr>
          <w:p w14:paraId="43C2935A">
            <w:pPr>
              <w:rPr>
                <w:rFonts w:ascii="宋体" w:hAnsi="宋体"/>
                <w:sz w:val="24"/>
                <w:szCs w:val="24"/>
              </w:rPr>
            </w:pPr>
            <w:r>
              <w:rPr>
                <w:rFonts w:ascii="宋体" w:hAnsi="宋体" w:cs="Helvetica"/>
                <w:color w:val="060607"/>
                <w:spacing w:val="4"/>
                <w:sz w:val="24"/>
                <w:szCs w:val="24"/>
              </w:rPr>
              <w:t>临近接缝0.6m内，或板角0.15m内，混凝土开裂或成碎块</w:t>
            </w:r>
          </w:p>
        </w:tc>
        <w:tc>
          <w:tcPr>
            <w:tcW w:w="2047" w:type="pct"/>
          </w:tcPr>
          <w:p w14:paraId="3848A301">
            <w:pPr>
              <w:rPr>
                <w:rFonts w:ascii="宋体" w:hAnsi="宋体"/>
                <w:sz w:val="24"/>
                <w:szCs w:val="24"/>
              </w:rPr>
            </w:pPr>
            <w:r>
              <w:rPr>
                <w:position w:val="-45"/>
              </w:rPr>
              <w:drawing>
                <wp:inline distT="0" distB="0" distL="0" distR="0">
                  <wp:extent cx="2035175" cy="1412875"/>
                  <wp:effectExtent l="0" t="0" r="3175"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70">
                            <a:extLst>
                              <a:ext uri="{28A0092B-C50C-407E-A947-70E740481C1C}">
                                <a14:useLocalDpi xmlns:a14="http://schemas.microsoft.com/office/drawing/2010/main" val="0"/>
                              </a:ext>
                            </a:extLst>
                          </a:blip>
                          <a:stretch>
                            <a:fillRect/>
                          </a:stretch>
                        </pic:blipFill>
                        <pic:spPr>
                          <a:xfrm>
                            <a:off x="0" y="0"/>
                            <a:ext cx="2074046" cy="1440030"/>
                          </a:xfrm>
                          <a:prstGeom prst="rect">
                            <a:avLst/>
                          </a:prstGeom>
                        </pic:spPr>
                      </pic:pic>
                    </a:graphicData>
                  </a:graphic>
                </wp:inline>
              </w:drawing>
            </w:r>
          </w:p>
        </w:tc>
      </w:tr>
      <w:tr w14:paraId="40E0D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restart"/>
            <w:vAlign w:val="center"/>
          </w:tcPr>
          <w:p w14:paraId="6D7E461E">
            <w:pPr>
              <w:rPr>
                <w:rFonts w:ascii="宋体" w:hAnsi="宋体"/>
                <w:sz w:val="24"/>
                <w:szCs w:val="24"/>
              </w:rPr>
            </w:pPr>
            <w:r>
              <w:rPr>
                <w:rFonts w:ascii="宋体" w:hAnsi="宋体" w:cs="Helvetica"/>
                <w:color w:val="060607"/>
                <w:spacing w:val="4"/>
                <w:sz w:val="24"/>
                <w:szCs w:val="24"/>
              </w:rPr>
              <w:t>表面破坏类</w:t>
            </w:r>
          </w:p>
        </w:tc>
        <w:tc>
          <w:tcPr>
            <w:tcW w:w="656" w:type="pct"/>
            <w:vAlign w:val="center"/>
          </w:tcPr>
          <w:p w14:paraId="22FBD0FF">
            <w:pPr>
              <w:rPr>
                <w:rFonts w:ascii="宋体" w:hAnsi="宋体"/>
                <w:sz w:val="24"/>
                <w:szCs w:val="24"/>
              </w:rPr>
            </w:pPr>
            <w:r>
              <w:rPr>
                <w:rFonts w:ascii="宋体" w:hAnsi="宋体" w:cs="Helvetica"/>
                <w:color w:val="060607"/>
                <w:spacing w:val="4"/>
                <w:sz w:val="24"/>
                <w:szCs w:val="24"/>
              </w:rPr>
              <w:t>坑洞</w:t>
            </w:r>
          </w:p>
        </w:tc>
        <w:tc>
          <w:tcPr>
            <w:tcW w:w="1903" w:type="pct"/>
            <w:vAlign w:val="center"/>
          </w:tcPr>
          <w:p w14:paraId="268445C1">
            <w:pPr>
              <w:rPr>
                <w:rFonts w:ascii="宋体" w:hAnsi="宋体"/>
                <w:sz w:val="24"/>
                <w:szCs w:val="24"/>
              </w:rPr>
            </w:pPr>
            <w:r>
              <w:rPr>
                <w:rFonts w:ascii="宋体" w:hAnsi="宋体" w:cs="Helvetica"/>
                <w:color w:val="060607"/>
                <w:spacing w:val="4"/>
                <w:sz w:val="24"/>
                <w:szCs w:val="24"/>
              </w:rPr>
              <w:t>面板表面出现直径为25mm</w:t>
            </w:r>
            <w:r>
              <w:rPr>
                <w:rFonts w:cs="Times New Roman"/>
                <w:color w:val="060607"/>
                <w:spacing w:val="4"/>
                <w:sz w:val="24"/>
                <w:szCs w:val="24"/>
              </w:rPr>
              <w:t>~</w:t>
            </w:r>
            <w:r>
              <w:rPr>
                <w:rFonts w:ascii="宋体" w:hAnsi="宋体" w:cs="Helvetica"/>
                <w:color w:val="060607"/>
                <w:spacing w:val="4"/>
                <w:sz w:val="24"/>
                <w:szCs w:val="24"/>
              </w:rPr>
              <w:t>100mm，深为12mm</w:t>
            </w:r>
            <w:r>
              <w:rPr>
                <w:rFonts w:cs="Times New Roman"/>
                <w:color w:val="060607"/>
                <w:spacing w:val="4"/>
                <w:sz w:val="24"/>
                <w:szCs w:val="24"/>
              </w:rPr>
              <w:t>~</w:t>
            </w:r>
            <w:r>
              <w:rPr>
                <w:rFonts w:ascii="宋体" w:hAnsi="宋体" w:cs="Helvetica"/>
                <w:color w:val="060607"/>
                <w:spacing w:val="4"/>
                <w:sz w:val="24"/>
                <w:szCs w:val="24"/>
              </w:rPr>
              <w:t>50mm的坑洞</w:t>
            </w:r>
          </w:p>
        </w:tc>
        <w:tc>
          <w:tcPr>
            <w:tcW w:w="2047" w:type="pct"/>
          </w:tcPr>
          <w:p w14:paraId="61C8195D">
            <w:pPr>
              <w:rPr>
                <w:rFonts w:ascii="宋体" w:hAnsi="宋体"/>
                <w:sz w:val="24"/>
                <w:szCs w:val="24"/>
              </w:rPr>
            </w:pPr>
            <w:r>
              <w:rPr>
                <w:position w:val="-44"/>
              </w:rPr>
              <w:drawing>
                <wp:inline distT="0" distB="0" distL="0" distR="0">
                  <wp:extent cx="1987550" cy="1653540"/>
                  <wp:effectExtent l="0" t="0" r="0" b="381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71">
                            <a:extLst>
                              <a:ext uri="{28A0092B-C50C-407E-A947-70E740481C1C}">
                                <a14:useLocalDpi xmlns:a14="http://schemas.microsoft.com/office/drawing/2010/main" val="0"/>
                              </a:ext>
                            </a:extLst>
                          </a:blip>
                          <a:stretch>
                            <a:fillRect/>
                          </a:stretch>
                        </pic:blipFill>
                        <pic:spPr>
                          <a:xfrm>
                            <a:off x="0" y="0"/>
                            <a:ext cx="2013819" cy="1675694"/>
                          </a:xfrm>
                          <a:prstGeom prst="rect">
                            <a:avLst/>
                          </a:prstGeom>
                        </pic:spPr>
                      </pic:pic>
                    </a:graphicData>
                  </a:graphic>
                </wp:inline>
              </w:drawing>
            </w:r>
          </w:p>
        </w:tc>
      </w:tr>
      <w:tr w14:paraId="1A108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vAlign w:val="center"/>
          </w:tcPr>
          <w:p w14:paraId="63F13B04">
            <w:pPr>
              <w:rPr>
                <w:rFonts w:ascii="宋体" w:hAnsi="宋体"/>
                <w:sz w:val="24"/>
                <w:szCs w:val="24"/>
              </w:rPr>
            </w:pPr>
          </w:p>
        </w:tc>
        <w:tc>
          <w:tcPr>
            <w:tcW w:w="656" w:type="pct"/>
            <w:vAlign w:val="center"/>
          </w:tcPr>
          <w:p w14:paraId="7C666E31">
            <w:pPr>
              <w:rPr>
                <w:rFonts w:ascii="宋体" w:hAnsi="宋体"/>
                <w:sz w:val="24"/>
                <w:szCs w:val="24"/>
              </w:rPr>
            </w:pPr>
            <w:r>
              <w:rPr>
                <w:rFonts w:ascii="宋体" w:hAnsi="宋体" w:cs="Helvetica"/>
                <w:color w:val="060607"/>
                <w:spacing w:val="4"/>
                <w:sz w:val="24"/>
                <w:szCs w:val="24"/>
              </w:rPr>
              <w:t>表面纹裂</w:t>
            </w:r>
          </w:p>
        </w:tc>
        <w:tc>
          <w:tcPr>
            <w:tcW w:w="1903" w:type="pct"/>
            <w:vAlign w:val="center"/>
          </w:tcPr>
          <w:p w14:paraId="48E299A6">
            <w:pPr>
              <w:rPr>
                <w:rFonts w:ascii="宋体" w:hAnsi="宋体"/>
                <w:sz w:val="24"/>
                <w:szCs w:val="24"/>
              </w:rPr>
            </w:pPr>
            <w:r>
              <w:rPr>
                <w:rFonts w:ascii="宋体" w:hAnsi="宋体" w:cs="Helvetica"/>
                <w:color w:val="060607"/>
                <w:spacing w:val="4"/>
                <w:sz w:val="24"/>
                <w:szCs w:val="24"/>
              </w:rPr>
              <w:t>路面表面有网状浅而细的裂纹</w:t>
            </w:r>
          </w:p>
        </w:tc>
        <w:tc>
          <w:tcPr>
            <w:tcW w:w="2047" w:type="pct"/>
          </w:tcPr>
          <w:p w14:paraId="082C9254">
            <w:pPr>
              <w:rPr>
                <w:rFonts w:ascii="宋体" w:hAnsi="宋体"/>
                <w:sz w:val="24"/>
                <w:szCs w:val="24"/>
              </w:rPr>
            </w:pPr>
            <w:r>
              <w:rPr>
                <w:position w:val="-41"/>
              </w:rPr>
              <w:drawing>
                <wp:inline distT="0" distB="0" distL="0" distR="0">
                  <wp:extent cx="2114550" cy="1613535"/>
                  <wp:effectExtent l="0" t="0" r="0" b="5715"/>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72">
                            <a:extLst>
                              <a:ext uri="{28A0092B-C50C-407E-A947-70E740481C1C}">
                                <a14:useLocalDpi xmlns:a14="http://schemas.microsoft.com/office/drawing/2010/main" val="0"/>
                              </a:ext>
                            </a:extLst>
                          </a:blip>
                          <a:stretch>
                            <a:fillRect/>
                          </a:stretch>
                        </pic:blipFill>
                        <pic:spPr>
                          <a:xfrm>
                            <a:off x="0" y="0"/>
                            <a:ext cx="2126388" cy="1622353"/>
                          </a:xfrm>
                          <a:prstGeom prst="rect">
                            <a:avLst/>
                          </a:prstGeom>
                        </pic:spPr>
                      </pic:pic>
                    </a:graphicData>
                  </a:graphic>
                </wp:inline>
              </w:drawing>
            </w:r>
          </w:p>
        </w:tc>
      </w:tr>
      <w:tr w14:paraId="0D7C0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vAlign w:val="center"/>
          </w:tcPr>
          <w:p w14:paraId="2D3E3634">
            <w:pPr>
              <w:rPr>
                <w:rFonts w:ascii="宋体" w:hAnsi="宋体"/>
                <w:sz w:val="24"/>
                <w:szCs w:val="24"/>
              </w:rPr>
            </w:pPr>
          </w:p>
        </w:tc>
        <w:tc>
          <w:tcPr>
            <w:tcW w:w="656" w:type="pct"/>
            <w:vAlign w:val="center"/>
          </w:tcPr>
          <w:p w14:paraId="1B7889C6">
            <w:pPr>
              <w:rPr>
                <w:rFonts w:ascii="宋体" w:hAnsi="宋体"/>
                <w:sz w:val="24"/>
                <w:szCs w:val="24"/>
              </w:rPr>
            </w:pPr>
            <w:r>
              <w:rPr>
                <w:rFonts w:ascii="宋体" w:hAnsi="宋体" w:cs="Helvetica"/>
                <w:color w:val="060607"/>
                <w:spacing w:val="4"/>
                <w:sz w:val="24"/>
                <w:szCs w:val="24"/>
              </w:rPr>
              <w:t>层状剥落</w:t>
            </w:r>
          </w:p>
        </w:tc>
        <w:tc>
          <w:tcPr>
            <w:tcW w:w="1903" w:type="pct"/>
            <w:vAlign w:val="center"/>
          </w:tcPr>
          <w:p w14:paraId="485F09F5">
            <w:pPr>
              <w:rPr>
                <w:rFonts w:ascii="宋体" w:hAnsi="宋体"/>
                <w:sz w:val="24"/>
                <w:szCs w:val="24"/>
              </w:rPr>
            </w:pPr>
            <w:r>
              <w:rPr>
                <w:rFonts w:ascii="宋体" w:hAnsi="宋体" w:cs="Helvetica"/>
                <w:color w:val="060607"/>
                <w:spacing w:val="4"/>
                <w:sz w:val="24"/>
                <w:szCs w:val="24"/>
              </w:rPr>
              <w:t>路面表面有层状剥落</w:t>
            </w:r>
          </w:p>
        </w:tc>
        <w:tc>
          <w:tcPr>
            <w:tcW w:w="2047" w:type="pct"/>
          </w:tcPr>
          <w:p w14:paraId="5A611586">
            <w:pPr>
              <w:rPr>
                <w:rFonts w:ascii="宋体" w:hAnsi="宋体"/>
                <w:sz w:val="24"/>
                <w:szCs w:val="24"/>
              </w:rPr>
            </w:pPr>
            <w:r>
              <w:rPr>
                <w:position w:val="-41"/>
              </w:rPr>
              <w:drawing>
                <wp:inline distT="0" distB="0" distL="0" distR="0">
                  <wp:extent cx="2178050" cy="1709420"/>
                  <wp:effectExtent l="0" t="0" r="0" b="508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73">
                            <a:extLst>
                              <a:ext uri="{28A0092B-C50C-407E-A947-70E740481C1C}">
                                <a14:useLocalDpi xmlns:a14="http://schemas.microsoft.com/office/drawing/2010/main" val="0"/>
                              </a:ext>
                            </a:extLst>
                          </a:blip>
                          <a:stretch>
                            <a:fillRect/>
                          </a:stretch>
                        </pic:blipFill>
                        <pic:spPr>
                          <a:xfrm>
                            <a:off x="0" y="0"/>
                            <a:ext cx="2188116" cy="1717202"/>
                          </a:xfrm>
                          <a:prstGeom prst="rect">
                            <a:avLst/>
                          </a:prstGeom>
                        </pic:spPr>
                      </pic:pic>
                    </a:graphicData>
                  </a:graphic>
                </wp:inline>
              </w:drawing>
            </w:r>
          </w:p>
        </w:tc>
      </w:tr>
      <w:tr w14:paraId="5CC73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restart"/>
            <w:vAlign w:val="center"/>
          </w:tcPr>
          <w:p w14:paraId="34322A03">
            <w:pPr>
              <w:rPr>
                <w:rFonts w:ascii="宋体" w:hAnsi="宋体"/>
                <w:sz w:val="24"/>
                <w:szCs w:val="24"/>
              </w:rPr>
            </w:pPr>
            <w:r>
              <w:rPr>
                <w:rFonts w:ascii="宋体" w:hAnsi="宋体" w:cs="Helvetica"/>
                <w:color w:val="060607"/>
                <w:spacing w:val="4"/>
                <w:sz w:val="24"/>
                <w:szCs w:val="24"/>
              </w:rPr>
              <w:t>其他类</w:t>
            </w:r>
          </w:p>
        </w:tc>
        <w:tc>
          <w:tcPr>
            <w:tcW w:w="656" w:type="pct"/>
            <w:vAlign w:val="center"/>
          </w:tcPr>
          <w:p w14:paraId="3C8D32B9">
            <w:pPr>
              <w:rPr>
                <w:rFonts w:ascii="宋体" w:hAnsi="宋体"/>
                <w:sz w:val="24"/>
                <w:szCs w:val="24"/>
              </w:rPr>
            </w:pPr>
            <w:r>
              <w:rPr>
                <w:rFonts w:ascii="宋体" w:hAnsi="宋体" w:cs="Helvetica"/>
                <w:color w:val="060607"/>
                <w:spacing w:val="4"/>
                <w:sz w:val="24"/>
                <w:szCs w:val="24"/>
              </w:rPr>
              <w:t>错台</w:t>
            </w:r>
          </w:p>
        </w:tc>
        <w:tc>
          <w:tcPr>
            <w:tcW w:w="1903" w:type="pct"/>
            <w:vAlign w:val="center"/>
          </w:tcPr>
          <w:p w14:paraId="73F4BD54">
            <w:pPr>
              <w:rPr>
                <w:rFonts w:ascii="宋体" w:hAnsi="宋体"/>
                <w:sz w:val="24"/>
                <w:szCs w:val="24"/>
              </w:rPr>
            </w:pPr>
            <w:r>
              <w:rPr>
                <w:rFonts w:ascii="宋体" w:hAnsi="宋体" w:cs="Helvetica"/>
                <w:color w:val="060607"/>
                <w:spacing w:val="4"/>
                <w:sz w:val="24"/>
                <w:szCs w:val="24"/>
              </w:rPr>
              <w:t>在接缝或裂缝两边出现高差</w:t>
            </w:r>
          </w:p>
        </w:tc>
        <w:tc>
          <w:tcPr>
            <w:tcW w:w="2047" w:type="pct"/>
          </w:tcPr>
          <w:p w14:paraId="7F887EC3">
            <w:pPr>
              <w:rPr>
                <w:rFonts w:ascii="宋体" w:hAnsi="宋体"/>
                <w:sz w:val="24"/>
                <w:szCs w:val="24"/>
              </w:rPr>
            </w:pPr>
            <w:r>
              <w:rPr>
                <w:rFonts w:ascii="宋体" w:hAnsi="宋体"/>
                <w:sz w:val="24"/>
                <w:szCs w:val="24"/>
              </w:rPr>
              <w:drawing>
                <wp:inline distT="0" distB="0" distL="0" distR="0">
                  <wp:extent cx="2195830" cy="1712595"/>
                  <wp:effectExtent l="0" t="0" r="0" b="190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2222381" cy="1733049"/>
                          </a:xfrm>
                          <a:prstGeom prst="rect">
                            <a:avLst/>
                          </a:prstGeom>
                        </pic:spPr>
                      </pic:pic>
                    </a:graphicData>
                  </a:graphic>
                </wp:inline>
              </w:drawing>
            </w:r>
          </w:p>
        </w:tc>
      </w:tr>
      <w:tr w14:paraId="3EA90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vAlign w:val="center"/>
          </w:tcPr>
          <w:p w14:paraId="62E83D21">
            <w:pPr>
              <w:rPr>
                <w:rFonts w:ascii="宋体" w:hAnsi="宋体"/>
                <w:sz w:val="24"/>
                <w:szCs w:val="24"/>
              </w:rPr>
            </w:pPr>
          </w:p>
        </w:tc>
        <w:tc>
          <w:tcPr>
            <w:tcW w:w="656" w:type="pct"/>
            <w:vAlign w:val="center"/>
          </w:tcPr>
          <w:p w14:paraId="07426D3E">
            <w:pPr>
              <w:rPr>
                <w:rFonts w:ascii="宋体" w:hAnsi="宋体"/>
                <w:sz w:val="24"/>
                <w:szCs w:val="24"/>
              </w:rPr>
            </w:pPr>
            <w:r>
              <w:rPr>
                <w:rFonts w:ascii="宋体" w:hAnsi="宋体" w:cs="Helvetica"/>
                <w:color w:val="060607"/>
                <w:spacing w:val="4"/>
                <w:sz w:val="24"/>
                <w:szCs w:val="24"/>
              </w:rPr>
              <w:t>拱胀</w:t>
            </w:r>
          </w:p>
        </w:tc>
        <w:tc>
          <w:tcPr>
            <w:tcW w:w="1903" w:type="pct"/>
            <w:vAlign w:val="center"/>
          </w:tcPr>
          <w:p w14:paraId="6BCCA818">
            <w:pPr>
              <w:rPr>
                <w:rFonts w:ascii="宋体" w:hAnsi="宋体"/>
                <w:sz w:val="24"/>
                <w:szCs w:val="24"/>
              </w:rPr>
            </w:pPr>
            <w:r>
              <w:rPr>
                <w:rFonts w:ascii="宋体" w:hAnsi="宋体" w:cs="Helvetica"/>
                <w:color w:val="060607"/>
                <w:spacing w:val="4"/>
                <w:sz w:val="24"/>
                <w:szCs w:val="24"/>
              </w:rPr>
              <w:t>横缝或接缝两侧的板体发生明显抬高</w:t>
            </w:r>
          </w:p>
        </w:tc>
        <w:tc>
          <w:tcPr>
            <w:tcW w:w="2047" w:type="pct"/>
          </w:tcPr>
          <w:p w14:paraId="57C3AB95">
            <w:pPr>
              <w:rPr>
                <w:rFonts w:ascii="宋体" w:hAnsi="宋体"/>
                <w:sz w:val="24"/>
                <w:szCs w:val="24"/>
              </w:rPr>
            </w:pPr>
            <w:r>
              <w:rPr>
                <w:rFonts w:ascii="宋体" w:hAnsi="宋体"/>
                <w:sz w:val="24"/>
                <w:szCs w:val="24"/>
              </w:rPr>
              <w:drawing>
                <wp:inline distT="0" distB="0" distL="0" distR="0">
                  <wp:extent cx="2195830" cy="164655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15011" cy="1661391"/>
                          </a:xfrm>
                          <a:prstGeom prst="rect">
                            <a:avLst/>
                          </a:prstGeom>
                        </pic:spPr>
                      </pic:pic>
                    </a:graphicData>
                  </a:graphic>
                </wp:inline>
              </w:drawing>
            </w:r>
          </w:p>
        </w:tc>
      </w:tr>
      <w:tr w14:paraId="52510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vAlign w:val="center"/>
          </w:tcPr>
          <w:p w14:paraId="0EB4C0AF">
            <w:pPr>
              <w:rPr>
                <w:rFonts w:ascii="宋体" w:hAnsi="宋体"/>
                <w:sz w:val="24"/>
                <w:szCs w:val="24"/>
              </w:rPr>
            </w:pPr>
          </w:p>
        </w:tc>
        <w:tc>
          <w:tcPr>
            <w:tcW w:w="656" w:type="pct"/>
            <w:vAlign w:val="center"/>
          </w:tcPr>
          <w:p w14:paraId="06A52423">
            <w:pPr>
              <w:rPr>
                <w:rFonts w:ascii="宋体" w:hAnsi="宋体"/>
                <w:sz w:val="24"/>
                <w:szCs w:val="24"/>
              </w:rPr>
            </w:pPr>
            <w:r>
              <w:rPr>
                <w:rFonts w:ascii="宋体" w:hAnsi="宋体" w:cs="Helvetica"/>
                <w:color w:val="060607"/>
                <w:spacing w:val="4"/>
                <w:sz w:val="24"/>
                <w:szCs w:val="24"/>
              </w:rPr>
              <w:t>唧浆</w:t>
            </w:r>
          </w:p>
        </w:tc>
        <w:tc>
          <w:tcPr>
            <w:tcW w:w="1903" w:type="pct"/>
            <w:vAlign w:val="center"/>
          </w:tcPr>
          <w:p w14:paraId="5F82430E">
            <w:pPr>
              <w:rPr>
                <w:rFonts w:ascii="宋体" w:hAnsi="宋体"/>
                <w:sz w:val="24"/>
                <w:szCs w:val="24"/>
              </w:rPr>
            </w:pPr>
            <w:r>
              <w:rPr>
                <w:rFonts w:ascii="宋体" w:hAnsi="宋体" w:cs="Helvetica"/>
                <w:color w:val="060607"/>
                <w:spacing w:val="4"/>
                <w:sz w:val="24"/>
                <w:szCs w:val="24"/>
              </w:rPr>
              <w:t>荷载作用时板发生弯沉，水和细料在轮载的作用下从接缝或裂缝中唧出</w:t>
            </w:r>
          </w:p>
        </w:tc>
        <w:tc>
          <w:tcPr>
            <w:tcW w:w="2047" w:type="pct"/>
          </w:tcPr>
          <w:p w14:paraId="3EFF0331">
            <w:pPr>
              <w:rPr>
                <w:rFonts w:ascii="宋体" w:hAnsi="宋体"/>
                <w:sz w:val="24"/>
                <w:szCs w:val="24"/>
              </w:rPr>
            </w:pPr>
            <w:r>
              <w:rPr>
                <w:rFonts w:ascii="宋体" w:hAnsi="宋体"/>
                <w:sz w:val="24"/>
                <w:szCs w:val="24"/>
              </w:rPr>
              <w:drawing>
                <wp:inline distT="0" distB="0" distL="0" distR="0">
                  <wp:extent cx="2228850" cy="1916430"/>
                  <wp:effectExtent l="0" t="0" r="0" b="762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2232609" cy="1919491"/>
                          </a:xfrm>
                          <a:prstGeom prst="rect">
                            <a:avLst/>
                          </a:prstGeom>
                          <a:noFill/>
                          <a:ln>
                            <a:noFill/>
                          </a:ln>
                        </pic:spPr>
                      </pic:pic>
                    </a:graphicData>
                  </a:graphic>
                </wp:inline>
              </w:drawing>
            </w:r>
          </w:p>
        </w:tc>
      </w:tr>
      <w:tr w14:paraId="2A0C5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vAlign w:val="center"/>
          </w:tcPr>
          <w:p w14:paraId="62B53182">
            <w:pPr>
              <w:rPr>
                <w:rFonts w:ascii="宋体" w:hAnsi="宋体"/>
                <w:sz w:val="24"/>
                <w:szCs w:val="24"/>
              </w:rPr>
            </w:pPr>
          </w:p>
        </w:tc>
        <w:tc>
          <w:tcPr>
            <w:tcW w:w="656" w:type="pct"/>
            <w:vAlign w:val="center"/>
          </w:tcPr>
          <w:p w14:paraId="34160CB9">
            <w:pPr>
              <w:rPr>
                <w:rFonts w:ascii="宋体" w:hAnsi="宋体"/>
                <w:sz w:val="24"/>
                <w:szCs w:val="24"/>
              </w:rPr>
            </w:pPr>
            <w:r>
              <w:rPr>
                <w:rFonts w:ascii="宋体" w:hAnsi="宋体" w:cs="Helvetica"/>
                <w:color w:val="060607"/>
                <w:spacing w:val="4"/>
                <w:sz w:val="24"/>
                <w:szCs w:val="24"/>
              </w:rPr>
              <w:t>路框差</w:t>
            </w:r>
          </w:p>
        </w:tc>
        <w:tc>
          <w:tcPr>
            <w:tcW w:w="1903" w:type="pct"/>
            <w:vAlign w:val="center"/>
          </w:tcPr>
          <w:p w14:paraId="2D540ABF">
            <w:pPr>
              <w:rPr>
                <w:rFonts w:ascii="宋体" w:hAnsi="宋体"/>
                <w:sz w:val="24"/>
                <w:szCs w:val="24"/>
              </w:rPr>
            </w:pPr>
            <w:r>
              <w:rPr>
                <w:rFonts w:ascii="宋体" w:hAnsi="宋体" w:cs="Helvetica"/>
                <w:color w:val="060607"/>
                <w:spacing w:val="4"/>
                <w:sz w:val="24"/>
                <w:szCs w:val="24"/>
              </w:rPr>
              <w:t>路表与检查井框顶面的相对高差（高或低）</w:t>
            </w:r>
          </w:p>
        </w:tc>
        <w:tc>
          <w:tcPr>
            <w:tcW w:w="2047" w:type="pct"/>
          </w:tcPr>
          <w:p w14:paraId="4A244DF3">
            <w:pPr>
              <w:rPr>
                <w:rFonts w:ascii="宋体" w:hAnsi="宋体"/>
                <w:sz w:val="24"/>
                <w:szCs w:val="24"/>
              </w:rPr>
            </w:pPr>
            <w:r>
              <w:rPr>
                <w:rFonts w:ascii="宋体" w:hAnsi="宋体"/>
                <w:sz w:val="24"/>
                <w:szCs w:val="24"/>
              </w:rPr>
              <w:drawing>
                <wp:inline distT="0" distB="0" distL="0" distR="0">
                  <wp:extent cx="2229485" cy="154368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269725" cy="1571537"/>
                          </a:xfrm>
                          <a:prstGeom prst="rect">
                            <a:avLst/>
                          </a:prstGeom>
                          <a:noFill/>
                          <a:ln>
                            <a:noFill/>
                          </a:ln>
                        </pic:spPr>
                      </pic:pic>
                    </a:graphicData>
                  </a:graphic>
                </wp:inline>
              </w:drawing>
            </w:r>
          </w:p>
        </w:tc>
      </w:tr>
      <w:tr w14:paraId="15354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vAlign w:val="center"/>
          </w:tcPr>
          <w:p w14:paraId="41A99EBF">
            <w:pPr>
              <w:rPr>
                <w:rFonts w:ascii="宋体" w:hAnsi="宋体"/>
                <w:sz w:val="24"/>
                <w:szCs w:val="24"/>
              </w:rPr>
            </w:pPr>
          </w:p>
        </w:tc>
        <w:tc>
          <w:tcPr>
            <w:tcW w:w="656" w:type="pct"/>
            <w:vAlign w:val="center"/>
          </w:tcPr>
          <w:p w14:paraId="6651B68D">
            <w:pPr>
              <w:rPr>
                <w:rFonts w:ascii="宋体" w:hAnsi="宋体"/>
                <w:sz w:val="24"/>
                <w:szCs w:val="24"/>
              </w:rPr>
            </w:pPr>
            <w:r>
              <w:rPr>
                <w:rFonts w:ascii="宋体" w:hAnsi="宋体" w:cs="Helvetica"/>
                <w:color w:val="060607"/>
                <w:spacing w:val="4"/>
                <w:sz w:val="24"/>
                <w:szCs w:val="24"/>
              </w:rPr>
              <w:t>沉陷</w:t>
            </w:r>
          </w:p>
        </w:tc>
        <w:tc>
          <w:tcPr>
            <w:tcW w:w="1903" w:type="pct"/>
            <w:vAlign w:val="center"/>
          </w:tcPr>
          <w:p w14:paraId="2E980FC9">
            <w:pPr>
              <w:rPr>
                <w:rFonts w:ascii="宋体" w:hAnsi="宋体"/>
                <w:sz w:val="24"/>
                <w:szCs w:val="24"/>
              </w:rPr>
            </w:pPr>
            <w:r>
              <w:rPr>
                <w:rFonts w:ascii="宋体" w:hAnsi="宋体" w:cs="Helvetica"/>
                <w:color w:val="060607"/>
                <w:spacing w:val="4"/>
                <w:sz w:val="24"/>
                <w:szCs w:val="24"/>
              </w:rPr>
              <w:t>路面局部下沉或连续多块板下沉</w:t>
            </w:r>
          </w:p>
        </w:tc>
        <w:tc>
          <w:tcPr>
            <w:tcW w:w="2047" w:type="pct"/>
          </w:tcPr>
          <w:p w14:paraId="4F72711E">
            <w:pPr>
              <w:rPr>
                <w:rFonts w:ascii="宋体" w:hAnsi="宋体"/>
                <w:sz w:val="24"/>
                <w:szCs w:val="24"/>
              </w:rPr>
            </w:pPr>
            <w:r>
              <w:drawing>
                <wp:inline distT="0" distB="0" distL="0" distR="0">
                  <wp:extent cx="2228850" cy="1610360"/>
                  <wp:effectExtent l="0" t="0" r="0" b="889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78">
                            <a:extLst>
                              <a:ext uri="{28A0092B-C50C-407E-A947-70E740481C1C}">
                                <a14:useLocalDpi xmlns:a14="http://schemas.microsoft.com/office/drawing/2010/main" val="0"/>
                              </a:ext>
                            </a:extLst>
                          </a:blip>
                          <a:srcRect l="7838"/>
                          <a:stretch>
                            <a:fillRect/>
                          </a:stretch>
                        </pic:blipFill>
                        <pic:spPr>
                          <a:xfrm>
                            <a:off x="0" y="0"/>
                            <a:ext cx="2256746" cy="1630880"/>
                          </a:xfrm>
                          <a:prstGeom prst="rect">
                            <a:avLst/>
                          </a:prstGeom>
                          <a:noFill/>
                          <a:ln>
                            <a:noFill/>
                          </a:ln>
                        </pic:spPr>
                      </pic:pic>
                    </a:graphicData>
                  </a:graphic>
                </wp:inline>
              </w:drawing>
            </w:r>
          </w:p>
        </w:tc>
      </w:tr>
    </w:tbl>
    <w:p w14:paraId="12C88F4B"/>
    <w:p w14:paraId="204F71A4">
      <w:pPr>
        <w:pStyle w:val="3"/>
        <w:spacing w:before="156" w:after="156"/>
      </w:pPr>
      <w:bookmarkStart w:id="54" w:name="_Toc200377219"/>
      <w:r>
        <w:rPr>
          <w:rFonts w:hint="eastAsia"/>
        </w:rPr>
        <w:t>病害处治</w:t>
      </w:r>
      <w:bookmarkEnd w:id="54"/>
    </w:p>
    <w:p w14:paraId="75CA9B54">
      <w:pPr>
        <w:pStyle w:val="4"/>
        <w:rPr>
          <w:b/>
          <w:bCs w:val="0"/>
        </w:rPr>
      </w:pPr>
      <w:r>
        <w:rPr>
          <w:b/>
          <w:bCs w:val="0"/>
        </w:rPr>
        <w:t>裂缝</w:t>
      </w:r>
    </w:p>
    <w:p w14:paraId="44F4A107">
      <w:pPr>
        <w:widowControl/>
        <w:numPr>
          <w:ilvl w:val="0"/>
          <w:numId w:val="12"/>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路面板出现</w:t>
      </w:r>
      <w:r>
        <w:rPr>
          <w:rFonts w:hint="eastAsia" w:ascii="宋体" w:hAnsi="宋体" w:cs="Helvetica"/>
          <w:color w:val="060607"/>
          <w:spacing w:val="4"/>
          <w:szCs w:val="28"/>
        </w:rPr>
        <w:t>＜</w:t>
      </w:r>
      <w:r>
        <w:rPr>
          <w:rFonts w:ascii="宋体" w:hAnsi="宋体" w:cs="Helvetica"/>
          <w:color w:val="060607"/>
          <w:spacing w:val="4"/>
          <w:szCs w:val="28"/>
        </w:rPr>
        <w:t>2mm的轻微裂缝，</w:t>
      </w:r>
      <w:r>
        <w:rPr>
          <w:rFonts w:hint="eastAsia" w:ascii="宋体" w:hAnsi="宋体" w:cs="Helvetica"/>
          <w:color w:val="060607"/>
          <w:spacing w:val="4"/>
          <w:szCs w:val="28"/>
        </w:rPr>
        <w:t>可采用吹扫直接灌浆</w:t>
      </w:r>
      <w:r>
        <w:rPr>
          <w:rFonts w:ascii="宋体" w:hAnsi="宋体" w:cs="Helvetica"/>
          <w:color w:val="060607"/>
          <w:spacing w:val="4"/>
          <w:szCs w:val="28"/>
        </w:rPr>
        <w:t>法处治</w:t>
      </w:r>
      <w:r>
        <w:rPr>
          <w:rFonts w:hint="eastAsia" w:ascii="宋体" w:hAnsi="宋体" w:cs="Helvetica"/>
          <w:color w:val="060607"/>
          <w:spacing w:val="4"/>
          <w:szCs w:val="28"/>
        </w:rPr>
        <w:t>，灌浆材料应符合JG/T</w:t>
      </w:r>
      <w:r>
        <w:rPr>
          <w:rFonts w:ascii="宋体" w:hAnsi="宋体" w:cs="Helvetica"/>
          <w:color w:val="060607"/>
          <w:spacing w:val="4"/>
          <w:szCs w:val="28"/>
        </w:rPr>
        <w:t xml:space="preserve"> 333</w:t>
      </w:r>
      <w:r>
        <w:rPr>
          <w:rFonts w:hint="eastAsia" w:ascii="宋体" w:hAnsi="宋体" w:cs="Helvetica"/>
          <w:color w:val="060607"/>
          <w:spacing w:val="4"/>
          <w:szCs w:val="28"/>
        </w:rPr>
        <w:t>的规定；</w:t>
      </w:r>
    </w:p>
    <w:p w14:paraId="0792783C">
      <w:pPr>
        <w:widowControl/>
        <w:numPr>
          <w:ilvl w:val="0"/>
          <w:numId w:val="12"/>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2 mm≤中等裂缝</w:t>
      </w:r>
      <w:r>
        <w:rPr>
          <w:rFonts w:hint="eastAsia" w:ascii="宋体" w:hAnsi="宋体" w:cs="Helvetica"/>
          <w:color w:val="060607"/>
          <w:spacing w:val="4"/>
          <w:szCs w:val="28"/>
        </w:rPr>
        <w:t>＜</w:t>
      </w:r>
      <w:r>
        <w:rPr>
          <w:rFonts w:ascii="宋体" w:hAnsi="宋体" w:cs="Helvetica"/>
          <w:color w:val="060607"/>
          <w:spacing w:val="4"/>
          <w:szCs w:val="28"/>
        </w:rPr>
        <w:t>15 mm，</w:t>
      </w:r>
      <w:r>
        <w:rPr>
          <w:rFonts w:hint="eastAsia" w:ascii="宋体" w:hAnsi="宋体" w:cs="Helvetica"/>
          <w:color w:val="060607"/>
          <w:spacing w:val="4"/>
          <w:szCs w:val="28"/>
        </w:rPr>
        <w:t>可采取扩风补块的方法处治</w:t>
      </w:r>
    </w:p>
    <w:p w14:paraId="03FC5A02">
      <w:pPr>
        <w:widowControl/>
        <w:numPr>
          <w:ilvl w:val="0"/>
          <w:numId w:val="12"/>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≥15 mm的严重裂缝，可采用挖补方法全深度补块。</w:t>
      </w:r>
    </w:p>
    <w:p w14:paraId="45DA470D">
      <w:pPr>
        <w:widowControl/>
        <w:numPr>
          <w:ilvl w:val="0"/>
          <w:numId w:val="12"/>
        </w:numPr>
        <w:shd w:val="clear" w:color="auto" w:fill="FFFFFF"/>
        <w:ind w:left="714" w:hanging="357"/>
        <w:textAlignment w:val="baseline"/>
      </w:pPr>
      <w:r>
        <w:rPr>
          <w:rFonts w:hint="eastAsia" w:ascii="宋体" w:hAnsi="宋体" w:cs="Helvetica"/>
          <w:color w:val="060607"/>
          <w:spacing w:val="4"/>
          <w:szCs w:val="28"/>
        </w:rPr>
        <w:t>扩缝补块、</w:t>
      </w:r>
      <w:r>
        <w:rPr>
          <w:rFonts w:ascii="宋体" w:hAnsi="宋体" w:cs="Helvetica"/>
          <w:color w:val="060607"/>
          <w:spacing w:val="4"/>
          <w:szCs w:val="28"/>
        </w:rPr>
        <w:t>挖补</w:t>
      </w:r>
      <w:r>
        <w:rPr>
          <w:rFonts w:hint="eastAsia" w:ascii="宋体" w:hAnsi="宋体" w:cs="Helvetica"/>
          <w:color w:val="060607"/>
          <w:spacing w:val="4"/>
          <w:szCs w:val="28"/>
        </w:rPr>
        <w:t>全</w:t>
      </w:r>
      <w:r>
        <w:rPr>
          <w:rFonts w:ascii="宋体" w:hAnsi="宋体" w:cs="Helvetica"/>
          <w:color w:val="060607"/>
          <w:spacing w:val="4"/>
          <w:szCs w:val="28"/>
        </w:rPr>
        <w:t>深度补块</w:t>
      </w:r>
      <w:r>
        <w:rPr>
          <w:rFonts w:hint="eastAsia" w:ascii="宋体" w:hAnsi="宋体" w:cs="Helvetica"/>
          <w:color w:val="060607"/>
          <w:spacing w:val="4"/>
          <w:szCs w:val="28"/>
        </w:rPr>
        <w:t>时应进行植筋，植筋深度应满足设计要求，无设计时，植筋深度应不小于板厚的2</w:t>
      </w:r>
      <w:r>
        <w:rPr>
          <w:rFonts w:ascii="宋体" w:hAnsi="宋体" w:cs="Helvetica"/>
          <w:color w:val="060607"/>
          <w:spacing w:val="4"/>
          <w:szCs w:val="28"/>
        </w:rPr>
        <w:t>/3</w:t>
      </w:r>
      <w:r>
        <w:rPr>
          <w:rFonts w:hint="eastAsia" w:ascii="宋体" w:hAnsi="宋体" w:cs="Helvetica"/>
          <w:color w:val="060607"/>
          <w:spacing w:val="4"/>
          <w:szCs w:val="28"/>
        </w:rPr>
        <w:t>。</w:t>
      </w:r>
    </w:p>
    <w:p w14:paraId="2AC75E6F">
      <w:pPr>
        <w:pStyle w:val="4"/>
        <w:rPr>
          <w:b/>
          <w:bCs w:val="0"/>
        </w:rPr>
      </w:pPr>
      <w:r>
        <w:rPr>
          <w:rFonts w:hint="eastAsia"/>
          <w:b/>
          <w:bCs w:val="0"/>
        </w:rPr>
        <w:t>板角</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3839"/>
        <w:gridCol w:w="3591"/>
      </w:tblGrid>
      <w:tr w14:paraId="4DC84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tcPr>
          <w:p w14:paraId="3A6BB0D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序号</w:t>
            </w:r>
          </w:p>
        </w:tc>
        <w:tc>
          <w:tcPr>
            <w:tcW w:w="3839" w:type="dxa"/>
          </w:tcPr>
          <w:p w14:paraId="54DF49C9">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步骤</w:t>
            </w:r>
          </w:p>
        </w:tc>
        <w:tc>
          <w:tcPr>
            <w:tcW w:w="3591" w:type="dxa"/>
          </w:tcPr>
          <w:p w14:paraId="5DB03F33">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图例</w:t>
            </w:r>
          </w:p>
        </w:tc>
      </w:tr>
      <w:tr w14:paraId="69ACB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tcPr>
          <w:p w14:paraId="4F92A35D">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1</w:t>
            </w:r>
          </w:p>
        </w:tc>
        <w:tc>
          <w:tcPr>
            <w:tcW w:w="3839" w:type="dxa"/>
          </w:tcPr>
          <w:p w14:paraId="6AEFC221">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现场安全文明施工组织</w:t>
            </w:r>
          </w:p>
          <w:p w14:paraId="722EE3D5">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布置施工现场，人员穿着反光标志服，设置警示标识，合理安排交通管制措施。</w:t>
            </w:r>
          </w:p>
        </w:tc>
        <w:tc>
          <w:tcPr>
            <w:tcW w:w="3591" w:type="dxa"/>
          </w:tcPr>
          <w:p w14:paraId="1FFDF48B">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143125" cy="160528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174065" cy="1628664"/>
                          </a:xfrm>
                          <a:prstGeom prst="rect">
                            <a:avLst/>
                          </a:prstGeom>
                          <a:noFill/>
                          <a:ln>
                            <a:noFill/>
                          </a:ln>
                        </pic:spPr>
                      </pic:pic>
                    </a:graphicData>
                  </a:graphic>
                </wp:inline>
              </w:drawing>
            </w:r>
          </w:p>
        </w:tc>
      </w:tr>
      <w:tr w14:paraId="3F81A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tcPr>
          <w:p w14:paraId="2279EA8E">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2</w:t>
            </w:r>
          </w:p>
        </w:tc>
        <w:tc>
          <w:tcPr>
            <w:tcW w:w="3839" w:type="dxa"/>
          </w:tcPr>
          <w:p w14:paraId="046C4F0A">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确定处治范围</w:t>
            </w:r>
          </w:p>
          <w:p w14:paraId="1F0221F0">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板角断裂应按破裂面的大小确定切割范围，切割应不出现锐角，且其修复纵向边不能位于车轮轨迹上。</w:t>
            </w:r>
          </w:p>
        </w:tc>
        <w:tc>
          <w:tcPr>
            <w:tcW w:w="3591" w:type="dxa"/>
          </w:tcPr>
          <w:p w14:paraId="66D63DF0">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140585" cy="1597025"/>
                  <wp:effectExtent l="0" t="0" r="0" b="317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163650" cy="1614578"/>
                          </a:xfrm>
                          <a:prstGeom prst="rect">
                            <a:avLst/>
                          </a:prstGeom>
                          <a:noFill/>
                          <a:ln>
                            <a:noFill/>
                          </a:ln>
                        </pic:spPr>
                      </pic:pic>
                    </a:graphicData>
                  </a:graphic>
                </wp:inline>
              </w:drawing>
            </w:r>
          </w:p>
        </w:tc>
      </w:tr>
      <w:tr w14:paraId="5BF70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tcPr>
          <w:p w14:paraId="7AC19836">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3</w:t>
            </w:r>
          </w:p>
        </w:tc>
        <w:tc>
          <w:tcPr>
            <w:tcW w:w="3839" w:type="dxa"/>
          </w:tcPr>
          <w:p w14:paraId="6EE233BB">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切割凿除</w:t>
            </w:r>
          </w:p>
          <w:p w14:paraId="45FA9E14">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用切缝机对确定好的处治范围标线切割，禁止直接凿除。切割凿除时边界应成规则垂直面。对原有钢筋至少保留2</w:t>
            </w:r>
            <w:r>
              <w:rPr>
                <w:rFonts w:ascii="宋体" w:hAnsi="宋体" w:cs="Helvetica"/>
                <w:color w:val="060607"/>
                <w:spacing w:val="4"/>
                <w:sz w:val="24"/>
                <w:szCs w:val="24"/>
              </w:rPr>
              <w:t>0</w:t>
            </w:r>
            <w:r>
              <w:rPr>
                <w:rFonts w:cs="Times New Roman"/>
                <w:color w:val="060607"/>
                <w:spacing w:val="4"/>
                <w:sz w:val="24"/>
                <w:szCs w:val="24"/>
              </w:rPr>
              <w:t>~</w:t>
            </w:r>
            <w:r>
              <w:rPr>
                <w:rFonts w:ascii="宋体" w:hAnsi="宋体" w:cs="Helvetica"/>
                <w:color w:val="060607"/>
                <w:spacing w:val="4"/>
                <w:sz w:val="24"/>
                <w:szCs w:val="24"/>
              </w:rPr>
              <w:t>30</w:t>
            </w:r>
            <w:r>
              <w:rPr>
                <w:rFonts w:hint="eastAsia" w:ascii="宋体" w:hAnsi="宋体" w:cs="Helvetica"/>
                <w:color w:val="060607"/>
                <w:spacing w:val="4"/>
                <w:sz w:val="24"/>
                <w:szCs w:val="24"/>
              </w:rPr>
              <w:t>cm长钢筋头，且长短交错。</w:t>
            </w:r>
          </w:p>
        </w:tc>
        <w:tc>
          <w:tcPr>
            <w:tcW w:w="3591" w:type="dxa"/>
          </w:tcPr>
          <w:p w14:paraId="0DBBE3BF">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106930" cy="1754505"/>
                  <wp:effectExtent l="0" t="0" r="762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123059" cy="1767900"/>
                          </a:xfrm>
                          <a:prstGeom prst="rect">
                            <a:avLst/>
                          </a:prstGeom>
                          <a:noFill/>
                          <a:ln>
                            <a:noFill/>
                          </a:ln>
                        </pic:spPr>
                      </pic:pic>
                    </a:graphicData>
                  </a:graphic>
                </wp:inline>
              </w:drawing>
            </w:r>
          </w:p>
        </w:tc>
      </w:tr>
      <w:tr w14:paraId="2006D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tcPr>
          <w:p w14:paraId="14756D2C">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4</w:t>
            </w:r>
          </w:p>
        </w:tc>
        <w:tc>
          <w:tcPr>
            <w:tcW w:w="3839" w:type="dxa"/>
          </w:tcPr>
          <w:p w14:paraId="7E71957E">
            <w:pPr>
              <w:rPr>
                <w:rFonts w:ascii="宋体" w:hAnsi="宋体" w:cs="Helvetica"/>
                <w:b/>
                <w:bCs/>
                <w:color w:val="060607"/>
                <w:spacing w:val="4"/>
                <w:sz w:val="24"/>
                <w:szCs w:val="24"/>
              </w:rPr>
            </w:pPr>
            <w:r>
              <w:rPr>
                <w:rFonts w:hint="eastAsia" w:ascii="宋体" w:hAnsi="宋体" w:cs="Helvetica"/>
                <w:b/>
                <w:bCs/>
                <w:color w:val="060607"/>
                <w:spacing w:val="4"/>
                <w:sz w:val="24"/>
                <w:szCs w:val="24"/>
              </w:rPr>
              <w:t>基层处理</w:t>
            </w:r>
          </w:p>
          <w:p w14:paraId="68F1E938">
            <w:pPr>
              <w:rPr>
                <w:rFonts w:ascii="宋体" w:hAnsi="宋体" w:cs="Helvetica"/>
                <w:color w:val="060607"/>
                <w:spacing w:val="4"/>
                <w:sz w:val="24"/>
                <w:szCs w:val="24"/>
              </w:rPr>
            </w:pPr>
            <w:r>
              <w:rPr>
                <w:rFonts w:hint="eastAsia" w:ascii="宋体" w:hAnsi="宋体" w:cs="Helvetica"/>
                <w:color w:val="060607"/>
                <w:spacing w:val="4"/>
                <w:sz w:val="24"/>
                <w:szCs w:val="24"/>
              </w:rPr>
              <w:t>基层不良时，应先处理基层，满足CJJ</w:t>
            </w:r>
            <w:r>
              <w:rPr>
                <w:rFonts w:ascii="宋体" w:hAnsi="宋体" w:cs="Helvetica"/>
                <w:color w:val="060607"/>
                <w:spacing w:val="4"/>
                <w:sz w:val="24"/>
                <w:szCs w:val="24"/>
              </w:rPr>
              <w:t xml:space="preserve"> 169</w:t>
            </w:r>
            <w:r>
              <w:rPr>
                <w:rFonts w:hint="eastAsia" w:ascii="宋体" w:hAnsi="宋体" w:cs="Helvetica"/>
                <w:color w:val="060607"/>
                <w:spacing w:val="4"/>
                <w:sz w:val="24"/>
                <w:szCs w:val="24"/>
              </w:rPr>
              <w:t>要求。原滑动传力杆，如有缺陷应予以更换并在新老混凝土之间加设传力杆，间距与原来保持一致。</w:t>
            </w:r>
          </w:p>
        </w:tc>
        <w:tc>
          <w:tcPr>
            <w:tcW w:w="3591" w:type="dxa"/>
          </w:tcPr>
          <w:p w14:paraId="324368FE">
            <w:pPr>
              <w:widowControl/>
              <w:tabs>
                <w:tab w:val="left" w:pos="720"/>
              </w:tabs>
              <w:textAlignment w:val="baseline"/>
              <w:rPr>
                <w:rFonts w:ascii="宋体" w:hAnsi="宋体" w:cs="Helvetica"/>
                <w:color w:val="060607"/>
                <w:spacing w:val="4"/>
                <w:sz w:val="24"/>
                <w:szCs w:val="24"/>
              </w:rPr>
            </w:pPr>
          </w:p>
          <w:p w14:paraId="32FCF69E">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1995170" cy="2146300"/>
                  <wp:effectExtent l="0" t="0" r="508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82">
                            <a:extLst>
                              <a:ext uri="{28A0092B-C50C-407E-A947-70E740481C1C}">
                                <a14:useLocalDpi xmlns:a14="http://schemas.microsoft.com/office/drawing/2010/main" val="0"/>
                              </a:ext>
                            </a:extLst>
                          </a:blip>
                          <a:srcRect b="11708"/>
                          <a:stretch>
                            <a:fillRect/>
                          </a:stretch>
                        </pic:blipFill>
                        <pic:spPr>
                          <a:xfrm>
                            <a:off x="0" y="0"/>
                            <a:ext cx="2011631" cy="2164564"/>
                          </a:xfrm>
                          <a:prstGeom prst="rect">
                            <a:avLst/>
                          </a:prstGeom>
                          <a:noFill/>
                          <a:ln>
                            <a:noFill/>
                          </a:ln>
                        </pic:spPr>
                      </pic:pic>
                    </a:graphicData>
                  </a:graphic>
                </wp:inline>
              </w:drawing>
            </w:r>
          </w:p>
        </w:tc>
      </w:tr>
      <w:tr w14:paraId="51FB3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tcPr>
          <w:p w14:paraId="52EB3F17">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5</w:t>
            </w:r>
          </w:p>
        </w:tc>
        <w:tc>
          <w:tcPr>
            <w:tcW w:w="3839" w:type="dxa"/>
          </w:tcPr>
          <w:p w14:paraId="7C9D472C">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混凝土浇筑</w:t>
            </w:r>
          </w:p>
          <w:p w14:paraId="75F3000B">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浇筑混凝土强度应不低于原强度要求的快凝水泥混凝土。混凝土拌合物振捣密实应与原路面保持齐平。</w:t>
            </w:r>
          </w:p>
        </w:tc>
        <w:tc>
          <w:tcPr>
            <w:tcW w:w="3591" w:type="dxa"/>
          </w:tcPr>
          <w:p w14:paraId="50425991">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16125" cy="1510030"/>
                  <wp:effectExtent l="0" t="0" r="317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036820" cy="1525850"/>
                          </a:xfrm>
                          <a:prstGeom prst="rect">
                            <a:avLst/>
                          </a:prstGeom>
                          <a:noFill/>
                          <a:ln>
                            <a:noFill/>
                          </a:ln>
                        </pic:spPr>
                      </pic:pic>
                    </a:graphicData>
                  </a:graphic>
                </wp:inline>
              </w:drawing>
            </w:r>
          </w:p>
        </w:tc>
      </w:tr>
      <w:tr w14:paraId="079E1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tcPr>
          <w:p w14:paraId="39E614B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6</w:t>
            </w:r>
          </w:p>
        </w:tc>
        <w:tc>
          <w:tcPr>
            <w:tcW w:w="3839" w:type="dxa"/>
          </w:tcPr>
          <w:p w14:paraId="44C5FBF4">
            <w:pPr>
              <w:pStyle w:val="39"/>
              <w:rPr>
                <w:rFonts w:hAnsi="宋体" w:cs="Helvetica"/>
                <w:b/>
                <w:bCs/>
                <w:color w:val="060607"/>
                <w:spacing w:val="4"/>
                <w:kern w:val="2"/>
              </w:rPr>
            </w:pPr>
            <w:r>
              <w:rPr>
                <w:rFonts w:hint="eastAsia" w:hAnsi="宋体" w:cs="Helvetica"/>
                <w:b/>
                <w:bCs/>
                <w:color w:val="060607"/>
                <w:spacing w:val="4"/>
                <w:kern w:val="2"/>
              </w:rPr>
              <w:t>养护</w:t>
            </w:r>
          </w:p>
          <w:p w14:paraId="1F314B0A">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宜采用养护剂进行养护。在整个养护期间必须保持修补混凝土表面始终处于湿润状态。</w:t>
            </w:r>
          </w:p>
        </w:tc>
        <w:tc>
          <w:tcPr>
            <w:tcW w:w="3591" w:type="dxa"/>
          </w:tcPr>
          <w:p w14:paraId="5AB8C5B5">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68830" cy="1549400"/>
                  <wp:effectExtent l="0" t="0" r="762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087657" cy="1563933"/>
                          </a:xfrm>
                          <a:prstGeom prst="rect">
                            <a:avLst/>
                          </a:prstGeom>
                          <a:noFill/>
                          <a:ln>
                            <a:noFill/>
                          </a:ln>
                        </pic:spPr>
                      </pic:pic>
                    </a:graphicData>
                  </a:graphic>
                </wp:inline>
              </w:drawing>
            </w:r>
          </w:p>
        </w:tc>
      </w:tr>
      <w:tr w14:paraId="5CC96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tcPr>
          <w:p w14:paraId="5A937680">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7</w:t>
            </w:r>
          </w:p>
        </w:tc>
        <w:tc>
          <w:tcPr>
            <w:tcW w:w="3839" w:type="dxa"/>
          </w:tcPr>
          <w:p w14:paraId="58111656">
            <w:pPr>
              <w:widowControl/>
              <w:tabs>
                <w:tab w:val="left" w:pos="720"/>
              </w:tabs>
              <w:textAlignment w:val="baseline"/>
              <w:rPr>
                <w:rFonts w:ascii="宋体" w:hAnsi="宋体" w:cs="Helvetica"/>
                <w:b/>
                <w:bCs/>
                <w:color w:val="060607"/>
                <w:spacing w:val="4"/>
                <w:sz w:val="24"/>
                <w:szCs w:val="24"/>
              </w:rPr>
            </w:pPr>
            <w:r>
              <w:rPr>
                <w:rFonts w:hint="eastAsia" w:ascii="宋体" w:hAnsi="宋体" w:cs="Helvetica"/>
                <w:b/>
                <w:bCs/>
                <w:color w:val="060607"/>
                <w:spacing w:val="4"/>
                <w:sz w:val="24"/>
                <w:szCs w:val="24"/>
              </w:rPr>
              <w:t>开放交通</w:t>
            </w:r>
          </w:p>
          <w:p w14:paraId="12B8A282">
            <w:pPr>
              <w:widowControl/>
              <w:tabs>
                <w:tab w:val="left" w:pos="720"/>
              </w:tabs>
              <w:textAlignment w:val="baseline"/>
              <w:rPr>
                <w:rFonts w:ascii="宋体" w:hAnsi="宋体" w:cs="Helvetica"/>
                <w:color w:val="060607"/>
                <w:spacing w:val="4"/>
                <w:sz w:val="24"/>
                <w:szCs w:val="24"/>
              </w:rPr>
            </w:pPr>
            <w:r>
              <w:rPr>
                <w:rFonts w:hint="eastAsia" w:ascii="宋体" w:hAnsi="宋体" w:cs="Helvetica"/>
                <w:color w:val="060607"/>
                <w:spacing w:val="4"/>
                <w:sz w:val="24"/>
                <w:szCs w:val="24"/>
              </w:rPr>
              <w:t>路面清理干净，集中装车运离现场。混凝土强度不低于设计强度7</w:t>
            </w:r>
            <w:r>
              <w:rPr>
                <w:rFonts w:ascii="宋体" w:hAnsi="宋体" w:cs="Helvetica"/>
                <w:color w:val="060607"/>
                <w:spacing w:val="4"/>
                <w:sz w:val="24"/>
                <w:szCs w:val="24"/>
              </w:rPr>
              <w:t>5%</w:t>
            </w:r>
            <w:r>
              <w:rPr>
                <w:rFonts w:hint="eastAsia" w:ascii="宋体" w:hAnsi="宋体" w:cs="Helvetica"/>
                <w:color w:val="060607"/>
                <w:spacing w:val="4"/>
                <w:sz w:val="24"/>
                <w:szCs w:val="24"/>
              </w:rPr>
              <w:t>（一般养护三天），方可开放交通。</w:t>
            </w:r>
          </w:p>
        </w:tc>
        <w:tc>
          <w:tcPr>
            <w:tcW w:w="3591" w:type="dxa"/>
          </w:tcPr>
          <w:p w14:paraId="7701763A">
            <w:pPr>
              <w:widowControl/>
              <w:tabs>
                <w:tab w:val="left" w:pos="720"/>
              </w:tabs>
              <w:textAlignment w:val="baseline"/>
              <w:rPr>
                <w:rFonts w:ascii="宋体" w:hAnsi="宋体" w:cs="Helvetica"/>
                <w:color w:val="060607"/>
                <w:spacing w:val="4"/>
                <w:sz w:val="24"/>
                <w:szCs w:val="24"/>
              </w:rPr>
            </w:pPr>
            <w:r>
              <w:rPr>
                <w:rFonts w:ascii="宋体" w:hAnsi="宋体" w:cs="Helvetica"/>
                <w:color w:val="060607"/>
                <w:spacing w:val="4"/>
                <w:sz w:val="24"/>
                <w:szCs w:val="24"/>
              </w:rPr>
              <w:drawing>
                <wp:inline distT="0" distB="0" distL="0" distR="0">
                  <wp:extent cx="2043430" cy="170243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058870" cy="1715768"/>
                          </a:xfrm>
                          <a:prstGeom prst="rect">
                            <a:avLst/>
                          </a:prstGeom>
                          <a:noFill/>
                          <a:ln>
                            <a:noFill/>
                          </a:ln>
                        </pic:spPr>
                      </pic:pic>
                    </a:graphicData>
                  </a:graphic>
                </wp:inline>
              </w:drawing>
            </w:r>
          </w:p>
        </w:tc>
      </w:tr>
    </w:tbl>
    <w:p w14:paraId="4AA677D4"/>
    <w:p w14:paraId="60F5581D">
      <w:pPr>
        <w:pStyle w:val="4"/>
        <w:rPr>
          <w:b/>
          <w:bCs w:val="0"/>
        </w:rPr>
      </w:pPr>
      <w:r>
        <w:rPr>
          <w:b/>
          <w:bCs w:val="0"/>
        </w:rPr>
        <w:t>接缝</w:t>
      </w:r>
    </w:p>
    <w:p w14:paraId="398DB829">
      <w:pPr>
        <w:widowControl/>
        <w:numPr>
          <w:ilvl w:val="0"/>
          <w:numId w:val="13"/>
        </w:numPr>
        <w:shd w:val="clear" w:color="auto" w:fill="FFFFFF"/>
        <w:ind w:left="714" w:hanging="357"/>
        <w:textAlignment w:val="baseline"/>
        <w:rPr>
          <w:rFonts w:ascii="宋体" w:hAnsi="宋体" w:cs="Helvetica"/>
          <w:color w:val="060607"/>
          <w:spacing w:val="4"/>
          <w:szCs w:val="28"/>
        </w:rPr>
      </w:pPr>
      <w:r>
        <w:rPr>
          <w:rFonts w:hint="eastAsia" w:ascii="宋体" w:hAnsi="宋体" w:cs="Helvetica"/>
          <w:color w:val="060607"/>
          <w:spacing w:val="4"/>
          <w:szCs w:val="28"/>
        </w:rPr>
        <w:t>对接缝处因传力杆设置不当所引起的损坏，应将原传力杆纠正到正确位置；</w:t>
      </w:r>
    </w:p>
    <w:p w14:paraId="644EB41A">
      <w:pPr>
        <w:widowControl/>
        <w:numPr>
          <w:ilvl w:val="0"/>
          <w:numId w:val="13"/>
        </w:numPr>
        <w:shd w:val="clear" w:color="auto" w:fill="FFFFFF"/>
        <w:ind w:left="714" w:hanging="357"/>
        <w:textAlignment w:val="baseline"/>
        <w:rPr>
          <w:rFonts w:ascii="宋体" w:hAnsi="宋体" w:cs="Helvetica"/>
          <w:color w:val="060607"/>
          <w:spacing w:val="4"/>
          <w:szCs w:val="28"/>
        </w:rPr>
      </w:pPr>
      <w:r>
        <w:rPr>
          <w:rFonts w:hint="eastAsia" w:ascii="宋体" w:hAnsi="宋体" w:cs="Helvetica"/>
          <w:color w:val="060607"/>
          <w:spacing w:val="4"/>
          <w:szCs w:val="28"/>
        </w:rPr>
        <w:t>在胀缝修理时，应先将热沥青涂刷缝壁，再将胀缝板压人缝内；对胀缝板接头及胀缝板与传力杆之间的间隙，应采用沥青或其他胀缝料抹平，上部采用嵌缝条的胀缝板应及时嵌入嵌缝条；</w:t>
      </w:r>
    </w:p>
    <w:p w14:paraId="5E5B94A1">
      <w:pPr>
        <w:widowControl/>
        <w:numPr>
          <w:ilvl w:val="0"/>
          <w:numId w:val="13"/>
        </w:numPr>
        <w:shd w:val="clear" w:color="auto" w:fill="FFFFFF"/>
        <w:ind w:left="714" w:hanging="357"/>
        <w:textAlignment w:val="baseline"/>
        <w:rPr>
          <w:rFonts w:ascii="宋体" w:hAnsi="宋体" w:cs="Helvetica"/>
          <w:color w:val="060607"/>
          <w:spacing w:val="4"/>
          <w:szCs w:val="28"/>
        </w:rPr>
      </w:pPr>
      <w:r>
        <w:rPr>
          <w:rFonts w:hint="eastAsia" w:ascii="宋体" w:hAnsi="宋体" w:cs="Helvetica"/>
          <w:color w:val="060607"/>
          <w:spacing w:val="4"/>
          <w:szCs w:val="28"/>
        </w:rPr>
        <w:t>在低温季节或缝内潮湿时应将接缝烘干；</w:t>
      </w:r>
    </w:p>
    <w:p w14:paraId="3CB47655">
      <w:pPr>
        <w:widowControl/>
        <w:numPr>
          <w:ilvl w:val="0"/>
          <w:numId w:val="13"/>
        </w:numPr>
        <w:shd w:val="clear" w:color="auto" w:fill="FFFFFF"/>
        <w:ind w:left="714" w:hanging="357"/>
        <w:textAlignment w:val="baseline"/>
        <w:rPr>
          <w:rFonts w:ascii="宋体" w:hAnsi="宋体" w:cs="Helvetica"/>
          <w:color w:val="060607"/>
          <w:spacing w:val="4"/>
          <w:szCs w:val="28"/>
        </w:rPr>
      </w:pPr>
      <w:r>
        <w:rPr>
          <w:rFonts w:hint="eastAsia" w:ascii="宋体" w:hAnsi="宋体" w:cs="Helvetica"/>
          <w:color w:val="060607"/>
          <w:spacing w:val="4"/>
          <w:szCs w:val="28"/>
        </w:rPr>
        <w:t>当纵向接缝张开宽度在</w:t>
      </w:r>
      <w:r>
        <w:rPr>
          <w:rFonts w:ascii="宋体" w:hAnsi="宋体" w:cs="Helvetica"/>
          <w:color w:val="060607"/>
          <w:spacing w:val="4"/>
          <w:szCs w:val="28"/>
        </w:rPr>
        <w:t xml:space="preserve">10mm </w:t>
      </w:r>
      <w:r>
        <w:rPr>
          <w:rFonts w:hint="eastAsia" w:ascii="宋体" w:hAnsi="宋体" w:cs="Helvetica"/>
          <w:color w:val="060607"/>
          <w:spacing w:val="4"/>
          <w:szCs w:val="28"/>
        </w:rPr>
        <w:t>及以下时，宜采用加热式填缝料；</w:t>
      </w:r>
    </w:p>
    <w:p w14:paraId="56B15F5E">
      <w:pPr>
        <w:widowControl/>
        <w:numPr>
          <w:ilvl w:val="0"/>
          <w:numId w:val="13"/>
        </w:numPr>
        <w:shd w:val="clear" w:color="auto" w:fill="FFFFFF"/>
        <w:ind w:left="714" w:hanging="357"/>
        <w:textAlignment w:val="baseline"/>
        <w:rPr>
          <w:rFonts w:ascii="宋体" w:hAnsi="宋体" w:cs="Helvetica"/>
          <w:color w:val="060607"/>
          <w:spacing w:val="4"/>
          <w:szCs w:val="28"/>
        </w:rPr>
      </w:pPr>
      <w:r>
        <w:rPr>
          <w:rFonts w:hint="eastAsia" w:ascii="宋体" w:hAnsi="宋体" w:cs="Helvetica"/>
          <w:color w:val="060607"/>
          <w:spacing w:val="4"/>
          <w:szCs w:val="28"/>
        </w:rPr>
        <w:t>当纵向接缝张开宽度在</w:t>
      </w:r>
      <w:r>
        <w:rPr>
          <w:rFonts w:ascii="宋体" w:hAnsi="宋体" w:cs="Helvetica"/>
          <w:color w:val="060607"/>
          <w:spacing w:val="4"/>
          <w:szCs w:val="28"/>
        </w:rPr>
        <w:t xml:space="preserve">10mm </w:t>
      </w:r>
      <w:r>
        <w:rPr>
          <w:rFonts w:hint="eastAsia" w:ascii="宋体" w:hAnsi="宋体" w:cs="Helvetica"/>
          <w:color w:val="060607"/>
          <w:spacing w:val="4"/>
          <w:szCs w:val="28"/>
        </w:rPr>
        <w:t>以上时，宜采用聚氨醋类填缝料常温施工；</w:t>
      </w:r>
    </w:p>
    <w:p w14:paraId="63052877">
      <w:pPr>
        <w:widowControl/>
        <w:numPr>
          <w:ilvl w:val="0"/>
          <w:numId w:val="13"/>
        </w:numPr>
        <w:shd w:val="clear" w:color="auto" w:fill="FFFFFF"/>
        <w:ind w:left="714" w:hanging="357"/>
        <w:textAlignment w:val="baseline"/>
        <w:rPr>
          <w:rFonts w:ascii="宋体" w:hAnsi="宋体" w:cs="Helvetica"/>
          <w:color w:val="060607"/>
          <w:spacing w:val="4"/>
          <w:szCs w:val="28"/>
        </w:rPr>
      </w:pPr>
      <w:r>
        <w:rPr>
          <w:rFonts w:hint="eastAsia" w:ascii="宋体" w:hAnsi="宋体" w:cs="Helvetica"/>
          <w:color w:val="060607"/>
          <w:spacing w:val="4"/>
          <w:szCs w:val="28"/>
        </w:rPr>
        <w:t>当接缝出现碎裂时，应先扩缝补块，再做接缝处理。</w:t>
      </w:r>
    </w:p>
    <w:p w14:paraId="722BA371"/>
    <w:p w14:paraId="02C4403D">
      <w:pPr>
        <w:pStyle w:val="4"/>
        <w:rPr>
          <w:b/>
          <w:bCs w:val="0"/>
        </w:rPr>
      </w:pPr>
      <w:r>
        <w:rPr>
          <w:rFonts w:hint="eastAsia"/>
          <w:b/>
          <w:bCs w:val="0"/>
        </w:rPr>
        <w:t>坑洞</w:t>
      </w:r>
    </w:p>
    <w:p w14:paraId="663E26D3">
      <w:pPr>
        <w:widowControl/>
        <w:numPr>
          <w:ilvl w:val="0"/>
          <w:numId w:val="14"/>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深度小于30mm且数量较多的浅坑，或成片的坑洞可采</w:t>
      </w:r>
      <w:r>
        <w:rPr>
          <w:rFonts w:hint="eastAsia" w:ascii="宋体" w:hAnsi="宋体" w:cs="Helvetica"/>
          <w:color w:val="060607"/>
          <w:spacing w:val="4"/>
          <w:szCs w:val="28"/>
        </w:rPr>
        <w:t>用适宜材料修补；</w:t>
      </w:r>
    </w:p>
    <w:p w14:paraId="23848D73">
      <w:pPr>
        <w:widowControl/>
        <w:numPr>
          <w:ilvl w:val="0"/>
          <w:numId w:val="14"/>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深度大于或等于30mm的坑槽，应先做局部凿除，再补</w:t>
      </w:r>
      <w:r>
        <w:rPr>
          <w:rFonts w:hint="eastAsia" w:ascii="宋体" w:hAnsi="宋体" w:cs="Helvetica"/>
          <w:color w:val="060607"/>
          <w:spacing w:val="4"/>
          <w:szCs w:val="28"/>
        </w:rPr>
        <w:t>修面层；</w:t>
      </w:r>
    </w:p>
    <w:p w14:paraId="1824F626">
      <w:pPr>
        <w:widowControl/>
        <w:numPr>
          <w:ilvl w:val="0"/>
          <w:numId w:val="14"/>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植筋施工应满足设计要求。</w:t>
      </w:r>
    </w:p>
    <w:p w14:paraId="43BEC449">
      <w:pPr>
        <w:widowControl/>
        <w:numPr>
          <w:ilvl w:val="0"/>
          <w:numId w:val="14"/>
        </w:numPr>
        <w:shd w:val="clear" w:color="auto" w:fill="FFFFFF"/>
        <w:ind w:left="714" w:hanging="357"/>
        <w:textAlignment w:val="baseline"/>
        <w:rPr>
          <w:rFonts w:ascii="宋体" w:hAnsi="宋体" w:cs="Helvetica"/>
          <w:color w:val="060607"/>
          <w:spacing w:val="4"/>
          <w:szCs w:val="28"/>
        </w:rPr>
      </w:pPr>
      <w:r>
        <w:rPr>
          <w:rFonts w:hint="eastAsia" w:ascii="宋体" w:hAnsi="宋体" w:cs="Helvetica"/>
          <w:spacing w:val="4"/>
          <w:szCs w:val="28"/>
        </w:rPr>
        <w:t>当修补材料达到设计强度后，方可通行车辆。</w:t>
      </w:r>
    </w:p>
    <w:p w14:paraId="05BCFC1D">
      <w:pPr>
        <w:pStyle w:val="4"/>
        <w:rPr>
          <w:b/>
          <w:bCs w:val="0"/>
        </w:rPr>
      </w:pPr>
      <w:r>
        <w:rPr>
          <w:b/>
          <w:bCs w:val="0"/>
        </w:rPr>
        <w:t>错台</w:t>
      </w:r>
    </w:p>
    <w:p w14:paraId="158CBC50">
      <w:pPr>
        <w:widowControl/>
        <w:numPr>
          <w:ilvl w:val="0"/>
          <w:numId w:val="15"/>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高差≤5 mm的错台，不作处理</w:t>
      </w:r>
      <w:r>
        <w:rPr>
          <w:rFonts w:hint="eastAsia" w:ascii="宋体" w:hAnsi="宋体" w:cs="Helvetica"/>
          <w:color w:val="060607"/>
          <w:spacing w:val="4"/>
          <w:szCs w:val="28"/>
        </w:rPr>
        <w:t>；</w:t>
      </w:r>
    </w:p>
    <w:p w14:paraId="3234C5B0">
      <w:pPr>
        <w:widowControl/>
        <w:numPr>
          <w:ilvl w:val="0"/>
          <w:numId w:val="15"/>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5mm&lt;高差≤10mm的错台，需采用磨平机磨平</w:t>
      </w:r>
      <w:r>
        <w:rPr>
          <w:rFonts w:hint="eastAsia" w:ascii="宋体" w:hAnsi="宋体" w:cs="Helvetica"/>
          <w:color w:val="060607"/>
          <w:spacing w:val="4"/>
          <w:szCs w:val="28"/>
        </w:rPr>
        <w:t>；</w:t>
      </w:r>
    </w:p>
    <w:p w14:paraId="3C9452F0">
      <w:pPr>
        <w:widowControl/>
        <w:numPr>
          <w:ilvl w:val="0"/>
          <w:numId w:val="15"/>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高差&gt;10 mm的严重错台，先采取压浆措施将错台降至&lt;10 mm，再按a)、b)条处理</w:t>
      </w:r>
      <w:r>
        <w:rPr>
          <w:rFonts w:hint="eastAsia" w:ascii="宋体" w:hAnsi="宋体" w:cs="Helvetica"/>
          <w:color w:val="060607"/>
          <w:spacing w:val="4"/>
          <w:szCs w:val="28"/>
        </w:rPr>
        <w:t>；</w:t>
      </w:r>
    </w:p>
    <w:p w14:paraId="295E46DB">
      <w:pPr>
        <w:widowControl/>
        <w:numPr>
          <w:ilvl w:val="0"/>
          <w:numId w:val="15"/>
        </w:numPr>
        <w:shd w:val="clear" w:color="auto" w:fill="FFFFFF"/>
        <w:ind w:left="714" w:hanging="357"/>
        <w:textAlignment w:val="baseline"/>
        <w:rPr>
          <w:rFonts w:ascii="宋体" w:hAnsi="宋体" w:cs="Helvetica"/>
          <w:color w:val="060607"/>
          <w:spacing w:val="4"/>
          <w:szCs w:val="28"/>
        </w:rPr>
      </w:pPr>
      <w:r>
        <w:rPr>
          <w:rFonts w:ascii="宋体" w:hAnsi="宋体" w:cs="Helvetica"/>
          <w:color w:val="060607"/>
          <w:spacing w:val="4"/>
          <w:szCs w:val="28"/>
        </w:rPr>
        <w:t>板块破碎，则直接按破损板处理。</w:t>
      </w:r>
    </w:p>
    <w:p w14:paraId="1BE406A7">
      <w:pPr>
        <w:widowControl/>
        <w:shd w:val="clear" w:color="auto" w:fill="FFFFFF"/>
        <w:textAlignment w:val="baseline"/>
        <w:rPr>
          <w:rFonts w:ascii="宋体" w:hAnsi="宋体" w:cs="Helvetica"/>
          <w:color w:val="060607"/>
          <w:spacing w:val="4"/>
          <w:szCs w:val="28"/>
        </w:rPr>
      </w:pPr>
    </w:p>
    <w:p w14:paraId="26847282">
      <w:pPr>
        <w:pStyle w:val="4"/>
        <w:rPr>
          <w:b/>
          <w:bCs w:val="0"/>
        </w:rPr>
      </w:pPr>
      <w:r>
        <w:rPr>
          <w:rFonts w:hint="eastAsia"/>
          <w:b/>
          <w:bCs w:val="0"/>
        </w:rPr>
        <w:t>整版翻修</w:t>
      </w:r>
    </w:p>
    <w:p w14:paraId="5B30364A">
      <w:pPr>
        <w:widowControl/>
        <w:numPr>
          <w:ilvl w:val="0"/>
          <w:numId w:val="16"/>
        </w:numPr>
        <w:shd w:val="clear" w:color="auto" w:fill="FFFFFF"/>
        <w:textAlignment w:val="baseline"/>
        <w:rPr>
          <w:rFonts w:ascii="宋体" w:hAnsi="宋体" w:cs="Helvetica"/>
          <w:color w:val="060607"/>
          <w:spacing w:val="4"/>
          <w:szCs w:val="28"/>
        </w:rPr>
      </w:pPr>
      <w:r>
        <w:rPr>
          <w:rFonts w:hint="eastAsia" w:ascii="宋体" w:hAnsi="宋体" w:cs="Helvetica"/>
          <w:color w:val="060607"/>
          <w:spacing w:val="4"/>
          <w:szCs w:val="28"/>
        </w:rPr>
        <w:t>水泥混凝土路面整块板凿除时，不得造成相邻板块破损、错位，保留原有拉杆，修补后对板进行刻槽</w:t>
      </w:r>
      <w:r>
        <w:rPr>
          <w:rFonts w:ascii="宋体" w:hAnsi="宋体" w:cs="Helvetica"/>
          <w:color w:val="060607"/>
          <w:spacing w:val="4"/>
          <w:szCs w:val="28"/>
        </w:rPr>
        <w:t>:</w:t>
      </w:r>
    </w:p>
    <w:p w14:paraId="0E328869">
      <w:pPr>
        <w:widowControl/>
        <w:numPr>
          <w:ilvl w:val="0"/>
          <w:numId w:val="16"/>
        </w:numPr>
        <w:shd w:val="clear" w:color="auto" w:fill="FFFFFF"/>
        <w:textAlignment w:val="baseline"/>
        <w:rPr>
          <w:rFonts w:ascii="宋体" w:hAnsi="宋体" w:cs="Helvetica"/>
          <w:color w:val="060607"/>
          <w:spacing w:val="4"/>
          <w:szCs w:val="28"/>
        </w:rPr>
      </w:pPr>
      <w:r>
        <w:rPr>
          <w:rFonts w:ascii="宋体" w:hAnsi="宋体" w:cs="Helvetica"/>
          <w:color w:val="060607"/>
          <w:spacing w:val="4"/>
          <w:szCs w:val="28"/>
        </w:rPr>
        <w:t>新旧水泥混凝土板交接处应设传力杆;</w:t>
      </w:r>
    </w:p>
    <w:p w14:paraId="5563258A">
      <w:pPr>
        <w:widowControl/>
        <w:numPr>
          <w:ilvl w:val="0"/>
          <w:numId w:val="16"/>
        </w:numPr>
        <w:shd w:val="clear" w:color="auto" w:fill="FFFFFF"/>
        <w:textAlignment w:val="baseline"/>
        <w:rPr>
          <w:rFonts w:ascii="宋体" w:hAnsi="宋体" w:cs="Helvetica"/>
          <w:color w:val="060607"/>
          <w:spacing w:val="4"/>
          <w:szCs w:val="28"/>
        </w:rPr>
      </w:pPr>
      <w:r>
        <w:rPr>
          <w:rFonts w:hint="eastAsia" w:ascii="宋体" w:hAnsi="宋体" w:cs="Helvetica"/>
          <w:color w:val="060607"/>
          <w:spacing w:val="4"/>
          <w:szCs w:val="28"/>
        </w:rPr>
        <w:t>基层损坏或强度不足时，宜采用不低于</w:t>
      </w:r>
      <w:r>
        <w:rPr>
          <w:rFonts w:ascii="宋体" w:hAnsi="宋体" w:cs="Helvetica"/>
          <w:color w:val="060607"/>
          <w:spacing w:val="4"/>
          <w:szCs w:val="28"/>
        </w:rPr>
        <w:t>C20 水泥混凝土补强，补强层顶面标高应与原基层顶面</w:t>
      </w:r>
      <w:r>
        <w:rPr>
          <w:rFonts w:hint="eastAsia" w:ascii="宋体" w:hAnsi="宋体" w:cs="Helvetica"/>
          <w:color w:val="060607"/>
          <w:spacing w:val="4"/>
          <w:szCs w:val="28"/>
        </w:rPr>
        <w:t>标高相同</w:t>
      </w:r>
      <w:r>
        <w:rPr>
          <w:rFonts w:ascii="宋体" w:hAnsi="宋体" w:cs="Helvetica"/>
          <w:color w:val="060607"/>
          <w:spacing w:val="4"/>
          <w:szCs w:val="28"/>
        </w:rPr>
        <w:t>:</w:t>
      </w:r>
    </w:p>
    <w:p w14:paraId="492FC02C">
      <w:pPr>
        <w:widowControl/>
        <w:numPr>
          <w:ilvl w:val="0"/>
          <w:numId w:val="16"/>
        </w:numPr>
        <w:shd w:val="clear" w:color="auto" w:fill="FFFFFF"/>
        <w:textAlignment w:val="baseline"/>
        <w:rPr>
          <w:rFonts w:ascii="宋体" w:hAnsi="宋体" w:cs="Helvetica"/>
          <w:color w:val="060607"/>
          <w:spacing w:val="4"/>
          <w:szCs w:val="28"/>
        </w:rPr>
      </w:pPr>
      <w:r>
        <w:rPr>
          <w:rFonts w:hint="eastAsia" w:ascii="宋体" w:hAnsi="宋体" w:cs="Helvetica"/>
          <w:color w:val="060607"/>
          <w:spacing w:val="4"/>
          <w:szCs w:val="28"/>
        </w:rPr>
        <w:t>应根据通车时间要求选用路面材料。</w:t>
      </w:r>
    </w:p>
    <w:p w14:paraId="6F5A8C66">
      <w:pPr>
        <w:widowControl/>
        <w:numPr>
          <w:ilvl w:val="0"/>
          <w:numId w:val="16"/>
        </w:numPr>
        <w:shd w:val="clear" w:color="auto" w:fill="FFFFFF"/>
        <w:textAlignment w:val="baseline"/>
        <w:rPr>
          <w:rFonts w:ascii="宋体" w:hAnsi="宋体" w:cs="Helvetica"/>
          <w:color w:val="060607"/>
          <w:spacing w:val="4"/>
          <w:szCs w:val="28"/>
        </w:rPr>
      </w:pPr>
      <w:r>
        <w:rPr>
          <w:rFonts w:hint="eastAsia" w:ascii="宋体" w:hAnsi="宋体" w:cs="Helvetica"/>
          <w:spacing w:val="4"/>
          <w:szCs w:val="28"/>
        </w:rPr>
        <w:t>当混凝土养护达到设计强度后，方可通行车辆。</w:t>
      </w:r>
    </w:p>
    <w:p w14:paraId="3C2590AC"/>
    <w:p w14:paraId="7E097518">
      <w:pPr>
        <w:pStyle w:val="2"/>
        <w:spacing w:before="156" w:after="156"/>
      </w:pPr>
      <w:bookmarkStart w:id="55" w:name="_Toc200377220"/>
      <w:r>
        <w:rPr>
          <w:rFonts w:hint="eastAsia"/>
        </w:rPr>
        <w:t>人行道养护</w:t>
      </w:r>
      <w:bookmarkEnd w:id="55"/>
    </w:p>
    <w:p w14:paraId="098BDEFD">
      <w:pPr>
        <w:pStyle w:val="3"/>
        <w:spacing w:before="156" w:after="156"/>
      </w:pPr>
      <w:bookmarkStart w:id="56" w:name="_Toc200377221"/>
      <w:r>
        <w:rPr>
          <w:rFonts w:hint="eastAsia"/>
        </w:rPr>
        <w:t>常见病害</w:t>
      </w:r>
      <w:bookmarkEnd w:id="56"/>
    </w:p>
    <w:p w14:paraId="0D409342">
      <w:pPr>
        <w:rPr>
          <w:rFonts w:hint="eastAsia"/>
        </w:rPr>
      </w:pPr>
      <w:r>
        <w:rPr>
          <w:rFonts w:hint="eastAsia"/>
        </w:rPr>
        <w:t>人行道常见病害损坏类型见表4。</w:t>
      </w:r>
    </w:p>
    <w:p w14:paraId="08AA6D73">
      <w:pPr>
        <w:spacing w:before="156" w:beforeLines="50" w:after="156" w:afterLines="50"/>
        <w:jc w:val="center"/>
        <w:rPr>
          <w:rFonts w:ascii="黑体" w:hAnsi="黑体" w:eastAsia="黑体"/>
          <w:sz w:val="24"/>
          <w:szCs w:val="24"/>
        </w:rPr>
      </w:pPr>
      <w:r>
        <w:rPr>
          <w:rFonts w:hint="eastAsia" w:ascii="黑体" w:hAnsi="黑体" w:eastAsia="黑体"/>
          <w:sz w:val="24"/>
          <w:szCs w:val="24"/>
        </w:rPr>
        <w:t>表4 人行道损坏类型</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8"/>
        <w:gridCol w:w="3738"/>
        <w:gridCol w:w="3246"/>
      </w:tblGrid>
      <w:tr w14:paraId="5AF59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2" w:type="pct"/>
          </w:tcPr>
          <w:p w14:paraId="0DCE3E38">
            <w:pPr>
              <w:jc w:val="center"/>
              <w:rPr>
                <w:rFonts w:ascii="宋体" w:hAnsi="宋体"/>
                <w:sz w:val="24"/>
                <w:szCs w:val="24"/>
              </w:rPr>
            </w:pPr>
            <w:r>
              <w:rPr>
                <w:rFonts w:hint="eastAsia" w:ascii="宋体" w:hAnsi="宋体"/>
                <w:sz w:val="24"/>
                <w:szCs w:val="24"/>
              </w:rPr>
              <w:t>病害类型</w:t>
            </w:r>
          </w:p>
        </w:tc>
        <w:tc>
          <w:tcPr>
            <w:tcW w:w="2312" w:type="pct"/>
          </w:tcPr>
          <w:p w14:paraId="44BFCEBB">
            <w:pPr>
              <w:rPr>
                <w:rFonts w:ascii="宋体" w:hAnsi="宋体"/>
                <w:sz w:val="24"/>
                <w:szCs w:val="24"/>
              </w:rPr>
            </w:pPr>
            <w:r>
              <w:rPr>
                <w:rFonts w:hint="eastAsia" w:ascii="宋体" w:hAnsi="宋体"/>
                <w:sz w:val="24"/>
                <w:szCs w:val="24"/>
              </w:rPr>
              <w:t>病害形状</w:t>
            </w:r>
          </w:p>
        </w:tc>
        <w:tc>
          <w:tcPr>
            <w:tcW w:w="1666" w:type="pct"/>
          </w:tcPr>
          <w:p w14:paraId="63AD2367">
            <w:pPr>
              <w:rPr>
                <w:rFonts w:ascii="宋体" w:hAnsi="宋体"/>
                <w:sz w:val="24"/>
                <w:szCs w:val="24"/>
              </w:rPr>
            </w:pPr>
            <w:r>
              <w:rPr>
                <w:rFonts w:hint="eastAsia" w:ascii="宋体" w:hAnsi="宋体"/>
                <w:sz w:val="24"/>
                <w:szCs w:val="24"/>
              </w:rPr>
              <w:t>图例</w:t>
            </w:r>
          </w:p>
        </w:tc>
      </w:tr>
      <w:tr w14:paraId="04C58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2" w:type="pct"/>
            <w:vAlign w:val="center"/>
          </w:tcPr>
          <w:p w14:paraId="75FDAC3D">
            <w:pPr>
              <w:rPr>
                <w:rFonts w:ascii="宋体" w:hAnsi="宋体"/>
                <w:sz w:val="24"/>
                <w:szCs w:val="24"/>
              </w:rPr>
            </w:pPr>
            <w:r>
              <w:rPr>
                <w:rFonts w:ascii="宋体" w:hAnsi="宋体"/>
                <w:sz w:val="24"/>
                <w:szCs w:val="24"/>
              </w:rPr>
              <w:t>裂缝</w:t>
            </w:r>
          </w:p>
        </w:tc>
        <w:tc>
          <w:tcPr>
            <w:tcW w:w="2312" w:type="pct"/>
            <w:vAlign w:val="center"/>
          </w:tcPr>
          <w:p w14:paraId="6B0CEAC9">
            <w:pPr>
              <w:rPr>
                <w:rFonts w:ascii="宋体" w:hAnsi="宋体"/>
                <w:sz w:val="24"/>
                <w:szCs w:val="24"/>
              </w:rPr>
            </w:pPr>
            <w:r>
              <w:rPr>
                <w:rFonts w:ascii="宋体" w:hAnsi="宋体"/>
                <w:sz w:val="24"/>
                <w:szCs w:val="24"/>
              </w:rPr>
              <w:t>路面上出现的各类裂缝</w:t>
            </w:r>
          </w:p>
        </w:tc>
        <w:tc>
          <w:tcPr>
            <w:tcW w:w="1666" w:type="pct"/>
          </w:tcPr>
          <w:p w14:paraId="05676F7D">
            <w:pPr>
              <w:rPr>
                <w:rFonts w:ascii="宋体" w:hAnsi="宋体"/>
                <w:sz w:val="24"/>
                <w:szCs w:val="24"/>
              </w:rPr>
            </w:pPr>
            <w:r>
              <w:rPr>
                <w:rFonts w:ascii="宋体" w:hAnsi="宋体"/>
                <w:sz w:val="24"/>
                <w:szCs w:val="24"/>
              </w:rPr>
              <w:drawing>
                <wp:inline distT="0" distB="0" distL="0" distR="0">
                  <wp:extent cx="1915795" cy="1435735"/>
                  <wp:effectExtent l="0" t="0" r="8255"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1954418" cy="1464424"/>
                          </a:xfrm>
                          <a:prstGeom prst="rect">
                            <a:avLst/>
                          </a:prstGeom>
                          <a:noFill/>
                          <a:ln>
                            <a:noFill/>
                          </a:ln>
                        </pic:spPr>
                      </pic:pic>
                    </a:graphicData>
                  </a:graphic>
                </wp:inline>
              </w:drawing>
            </w:r>
          </w:p>
        </w:tc>
      </w:tr>
      <w:tr w14:paraId="15203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2" w:type="pct"/>
            <w:vAlign w:val="center"/>
          </w:tcPr>
          <w:p w14:paraId="4312899D">
            <w:pPr>
              <w:rPr>
                <w:rFonts w:ascii="宋体" w:hAnsi="宋体"/>
                <w:sz w:val="24"/>
                <w:szCs w:val="24"/>
              </w:rPr>
            </w:pPr>
            <w:r>
              <w:rPr>
                <w:rFonts w:ascii="宋体" w:hAnsi="宋体"/>
                <w:sz w:val="24"/>
                <w:szCs w:val="24"/>
              </w:rPr>
              <w:t>松动或变形</w:t>
            </w:r>
          </w:p>
        </w:tc>
        <w:tc>
          <w:tcPr>
            <w:tcW w:w="2312" w:type="pct"/>
            <w:vAlign w:val="center"/>
          </w:tcPr>
          <w:p w14:paraId="76A9A94F">
            <w:pPr>
              <w:rPr>
                <w:rFonts w:ascii="宋体" w:hAnsi="宋体"/>
                <w:sz w:val="24"/>
                <w:szCs w:val="24"/>
              </w:rPr>
            </w:pPr>
            <w:r>
              <w:rPr>
                <w:rFonts w:ascii="宋体" w:hAnsi="宋体"/>
                <w:sz w:val="24"/>
                <w:szCs w:val="24"/>
              </w:rPr>
              <w:t>人行道块件出现松动、脱空、下陷或拱起，包括沉陷、错台</w:t>
            </w:r>
          </w:p>
        </w:tc>
        <w:tc>
          <w:tcPr>
            <w:tcW w:w="1666" w:type="pct"/>
          </w:tcPr>
          <w:p w14:paraId="5AB40AFB">
            <w:pPr>
              <w:rPr>
                <w:rFonts w:ascii="宋体" w:hAnsi="宋体"/>
                <w:sz w:val="24"/>
                <w:szCs w:val="24"/>
              </w:rPr>
            </w:pPr>
            <w:r>
              <w:rPr>
                <w:rFonts w:ascii="宋体" w:hAnsi="宋体"/>
                <w:sz w:val="24"/>
                <w:szCs w:val="24"/>
              </w:rPr>
              <w:drawing>
                <wp:inline distT="0" distB="0" distL="0" distR="0">
                  <wp:extent cx="1910080" cy="143065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1938127" cy="1452218"/>
                          </a:xfrm>
                          <a:prstGeom prst="rect">
                            <a:avLst/>
                          </a:prstGeom>
                          <a:noFill/>
                          <a:ln>
                            <a:noFill/>
                          </a:ln>
                        </pic:spPr>
                      </pic:pic>
                    </a:graphicData>
                  </a:graphic>
                </wp:inline>
              </w:drawing>
            </w:r>
          </w:p>
        </w:tc>
      </w:tr>
      <w:tr w14:paraId="1CB95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2" w:type="pct"/>
            <w:vAlign w:val="center"/>
          </w:tcPr>
          <w:p w14:paraId="38AEFB56">
            <w:pPr>
              <w:rPr>
                <w:rFonts w:ascii="宋体" w:hAnsi="宋体"/>
                <w:sz w:val="24"/>
                <w:szCs w:val="24"/>
              </w:rPr>
            </w:pPr>
            <w:r>
              <w:rPr>
                <w:rFonts w:ascii="宋体" w:hAnsi="宋体"/>
                <w:sz w:val="24"/>
                <w:szCs w:val="24"/>
              </w:rPr>
              <w:t>残缺</w:t>
            </w:r>
          </w:p>
        </w:tc>
        <w:tc>
          <w:tcPr>
            <w:tcW w:w="2312" w:type="pct"/>
            <w:vAlign w:val="center"/>
          </w:tcPr>
          <w:p w14:paraId="0220C52F">
            <w:pPr>
              <w:rPr>
                <w:rFonts w:ascii="宋体" w:hAnsi="宋体"/>
                <w:sz w:val="24"/>
                <w:szCs w:val="24"/>
              </w:rPr>
            </w:pPr>
            <w:r>
              <w:rPr>
                <w:rFonts w:ascii="宋体" w:hAnsi="宋体"/>
                <w:sz w:val="24"/>
                <w:szCs w:val="24"/>
              </w:rPr>
              <w:t>人行道块件破碎散失</w:t>
            </w:r>
          </w:p>
        </w:tc>
        <w:tc>
          <w:tcPr>
            <w:tcW w:w="1666" w:type="pct"/>
          </w:tcPr>
          <w:p w14:paraId="5C0B1B3E">
            <w:pPr>
              <w:rPr>
                <w:rFonts w:ascii="宋体" w:hAnsi="宋体"/>
                <w:sz w:val="24"/>
                <w:szCs w:val="24"/>
              </w:rPr>
            </w:pPr>
            <w:r>
              <w:rPr>
                <w:position w:val="-45"/>
              </w:rPr>
              <w:drawing>
                <wp:inline distT="0" distB="0" distL="0" distR="0">
                  <wp:extent cx="1906270" cy="1682115"/>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88">
                            <a:extLst>
                              <a:ext uri="{28A0092B-C50C-407E-A947-70E740481C1C}">
                                <a14:useLocalDpi xmlns:a14="http://schemas.microsoft.com/office/drawing/2010/main" val="0"/>
                              </a:ext>
                            </a:extLst>
                          </a:blip>
                          <a:stretch>
                            <a:fillRect/>
                          </a:stretch>
                        </pic:blipFill>
                        <pic:spPr>
                          <a:xfrm>
                            <a:off x="0" y="0"/>
                            <a:ext cx="1944076" cy="1715305"/>
                          </a:xfrm>
                          <a:prstGeom prst="rect">
                            <a:avLst/>
                          </a:prstGeom>
                        </pic:spPr>
                      </pic:pic>
                    </a:graphicData>
                  </a:graphic>
                </wp:inline>
              </w:drawing>
            </w:r>
          </w:p>
        </w:tc>
      </w:tr>
    </w:tbl>
    <w:p w14:paraId="267EA6BB"/>
    <w:p w14:paraId="3A4C68EA">
      <w:pPr>
        <w:pStyle w:val="3"/>
        <w:spacing w:before="156" w:after="156"/>
      </w:pPr>
      <w:bookmarkStart w:id="57" w:name="_Toc200377222"/>
      <w:r>
        <w:rPr>
          <w:rFonts w:hint="eastAsia"/>
        </w:rPr>
        <w:t>人行道维修</w:t>
      </w:r>
      <w:bookmarkEnd w:id="57"/>
    </w:p>
    <w:p w14:paraId="677FC403">
      <w:pPr>
        <w:ind w:firstLine="560" w:firstLineChars="200"/>
        <w:rPr>
          <w:bCs/>
          <w:szCs w:val="32"/>
        </w:rPr>
      </w:pPr>
      <w:r>
        <w:rPr>
          <w:bCs/>
          <w:szCs w:val="32"/>
        </w:rPr>
        <w:t xml:space="preserve">人行道维修应符合下列要求: </w:t>
      </w:r>
    </w:p>
    <w:p w14:paraId="7F8BBDDE">
      <w:pPr>
        <w:pStyle w:val="21"/>
        <w:numPr>
          <w:ilvl w:val="0"/>
          <w:numId w:val="17"/>
        </w:numPr>
        <w:ind w:left="1120" w:leftChars="200" w:hanging="560" w:hangingChars="200"/>
        <w:rPr>
          <w:bCs/>
          <w:szCs w:val="32"/>
        </w:rPr>
      </w:pPr>
      <w:r>
        <w:rPr>
          <w:bCs/>
          <w:szCs w:val="32"/>
        </w:rPr>
        <w:t>对基层强度不足产生的沉陷、破碎损坏，应先加固基层，再铺砌面层砌块</w:t>
      </w:r>
      <w:r>
        <w:rPr>
          <w:rFonts w:hint="eastAsia"/>
          <w:bCs/>
          <w:szCs w:val="32"/>
        </w:rPr>
        <w:t>；</w:t>
      </w:r>
    </w:p>
    <w:p w14:paraId="59EBE46D">
      <w:pPr>
        <w:pStyle w:val="21"/>
        <w:numPr>
          <w:ilvl w:val="0"/>
          <w:numId w:val="17"/>
        </w:numPr>
        <w:ind w:left="1120" w:leftChars="200" w:hanging="560" w:hangingChars="200"/>
        <w:rPr>
          <w:bCs/>
          <w:szCs w:val="32"/>
        </w:rPr>
      </w:pPr>
      <w:r>
        <w:rPr>
          <w:bCs/>
          <w:szCs w:val="32"/>
        </w:rPr>
        <w:t>检查井周围与构筑物接壤的砌块宜切块补齐</w:t>
      </w:r>
      <w:r>
        <w:rPr>
          <w:rFonts w:hint="eastAsia"/>
          <w:bCs/>
          <w:szCs w:val="32"/>
        </w:rPr>
        <w:t>；</w:t>
      </w:r>
    </w:p>
    <w:p w14:paraId="0816BDF0">
      <w:pPr>
        <w:pStyle w:val="21"/>
        <w:numPr>
          <w:ilvl w:val="0"/>
          <w:numId w:val="17"/>
        </w:numPr>
        <w:ind w:left="1120" w:leftChars="200" w:hanging="560" w:hangingChars="200"/>
        <w:rPr>
          <w:bCs/>
          <w:szCs w:val="32"/>
        </w:rPr>
      </w:pPr>
      <w:r>
        <w:rPr>
          <w:bCs/>
          <w:szCs w:val="32"/>
        </w:rPr>
        <w:t>整体铺筑的人行道维修应按本文件</w:t>
      </w:r>
      <w:r>
        <w:rPr>
          <w:rFonts w:hint="eastAsia"/>
          <w:bCs/>
          <w:szCs w:val="32"/>
        </w:rPr>
        <w:t>沥青路面或水泥混凝土路面</w:t>
      </w:r>
      <w:r>
        <w:rPr>
          <w:bCs/>
          <w:szCs w:val="32"/>
        </w:rPr>
        <w:t>的要求执行</w:t>
      </w:r>
      <w:r>
        <w:rPr>
          <w:rFonts w:hint="eastAsia"/>
          <w:bCs/>
          <w:szCs w:val="32"/>
        </w:rPr>
        <w:t>；其他材质人行道按相关标准执行。</w:t>
      </w:r>
    </w:p>
    <w:p w14:paraId="167E850F">
      <w:pPr>
        <w:pStyle w:val="21"/>
        <w:numPr>
          <w:ilvl w:val="0"/>
          <w:numId w:val="17"/>
        </w:numPr>
        <w:ind w:left="1120" w:leftChars="200" w:hanging="560" w:hangingChars="200"/>
        <w:rPr>
          <w:bCs/>
          <w:szCs w:val="32"/>
        </w:rPr>
      </w:pPr>
      <w:r>
        <w:rPr>
          <w:bCs/>
          <w:szCs w:val="32"/>
        </w:rPr>
        <w:t>面层砌块发现松动、错台、凸出、沉陷、残缺时应及时修复。修复的部位应与周围的面层砌块</w:t>
      </w:r>
      <w:r>
        <w:rPr>
          <w:rFonts w:hint="eastAsia"/>
          <w:bCs/>
          <w:szCs w:val="32"/>
        </w:rPr>
        <w:t>砖相接平顺。</w:t>
      </w:r>
    </w:p>
    <w:p w14:paraId="4798E5B8">
      <w:pPr>
        <w:pStyle w:val="21"/>
        <w:numPr>
          <w:ilvl w:val="0"/>
          <w:numId w:val="17"/>
        </w:numPr>
        <w:ind w:left="1120" w:leftChars="200" w:hanging="560" w:hangingChars="200"/>
        <w:rPr>
          <w:bCs/>
          <w:szCs w:val="32"/>
        </w:rPr>
      </w:pPr>
      <w:r>
        <w:rPr>
          <w:rFonts w:hint="eastAsia"/>
          <w:bCs/>
          <w:szCs w:val="32"/>
        </w:rPr>
        <w:t>盲道上的导向转、止步砖、缘石坡道出现缺损、位置不正确应及时修复。</w:t>
      </w:r>
    </w:p>
    <w:p w14:paraId="6E484C5D">
      <w:pPr>
        <w:pStyle w:val="2"/>
        <w:spacing w:before="156" w:after="156"/>
      </w:pPr>
      <w:bookmarkStart w:id="58" w:name="_Toc200377223"/>
      <w:r>
        <w:rPr>
          <w:rFonts w:hint="eastAsia"/>
        </w:rPr>
        <w:t>路基养护</w:t>
      </w:r>
      <w:bookmarkEnd w:id="58"/>
    </w:p>
    <w:p w14:paraId="3E84ED5F">
      <w:pPr>
        <w:pStyle w:val="3"/>
        <w:spacing w:before="156" w:after="156"/>
      </w:pPr>
      <w:bookmarkStart w:id="59" w:name="_Toc200377224"/>
      <w:r>
        <w:rPr>
          <w:rFonts w:hint="eastAsia"/>
        </w:rPr>
        <w:t>路基</w:t>
      </w:r>
      <w:bookmarkEnd w:id="59"/>
    </w:p>
    <w:p w14:paraId="6FC1C9E1">
      <w:pPr>
        <w:ind w:firstLine="560" w:firstLineChars="200"/>
        <w:rPr>
          <w:bCs/>
          <w:szCs w:val="32"/>
        </w:rPr>
      </w:pPr>
      <w:r>
        <w:rPr>
          <w:bCs/>
          <w:szCs w:val="32"/>
        </w:rPr>
        <w:t>路基养护要求：</w:t>
      </w:r>
    </w:p>
    <w:p w14:paraId="26832647">
      <w:pPr>
        <w:pStyle w:val="21"/>
        <w:numPr>
          <w:ilvl w:val="0"/>
          <w:numId w:val="18"/>
        </w:numPr>
        <w:ind w:firstLineChars="0"/>
        <w:rPr>
          <w:bCs/>
          <w:szCs w:val="32"/>
        </w:rPr>
      </w:pPr>
      <w:r>
        <w:rPr>
          <w:bCs/>
          <w:szCs w:val="32"/>
        </w:rPr>
        <w:t>路</w:t>
      </w:r>
      <w:r>
        <w:rPr>
          <w:rFonts w:hint="eastAsia"/>
          <w:bCs/>
          <w:szCs w:val="32"/>
        </w:rPr>
        <w:t>基</w:t>
      </w:r>
      <w:r>
        <w:rPr>
          <w:bCs/>
          <w:szCs w:val="32"/>
        </w:rPr>
        <w:t>应密实，横坡适度，无积水、沉陷和堆积物，边缘应直平整。</w:t>
      </w:r>
    </w:p>
    <w:p w14:paraId="52199F4F">
      <w:pPr>
        <w:pStyle w:val="21"/>
        <w:numPr>
          <w:ilvl w:val="0"/>
          <w:numId w:val="18"/>
        </w:numPr>
        <w:ind w:firstLineChars="0"/>
        <w:rPr>
          <w:bCs/>
          <w:szCs w:val="32"/>
        </w:rPr>
      </w:pPr>
      <w:r>
        <w:rPr>
          <w:bCs/>
          <w:szCs w:val="32"/>
        </w:rPr>
        <w:t xml:space="preserve">土质边坡应平整、坚实稳定。 </w:t>
      </w:r>
    </w:p>
    <w:p w14:paraId="2F346F73">
      <w:pPr>
        <w:pStyle w:val="21"/>
        <w:numPr>
          <w:ilvl w:val="0"/>
          <w:numId w:val="18"/>
        </w:numPr>
        <w:ind w:firstLineChars="0"/>
        <w:rPr>
          <w:bCs/>
          <w:szCs w:val="32"/>
        </w:rPr>
      </w:pPr>
      <w:r>
        <w:rPr>
          <w:bCs/>
          <w:szCs w:val="32"/>
        </w:rPr>
        <w:t>挡土墙及护坡应完好，泄水孔应通畅。</w:t>
      </w:r>
    </w:p>
    <w:p w14:paraId="0276A8F4">
      <w:pPr>
        <w:pStyle w:val="21"/>
        <w:numPr>
          <w:ilvl w:val="0"/>
          <w:numId w:val="18"/>
        </w:numPr>
        <w:ind w:firstLineChars="0"/>
        <w:rPr>
          <w:bCs/>
          <w:szCs w:val="32"/>
        </w:rPr>
      </w:pPr>
      <w:r>
        <w:rPr>
          <w:bCs/>
          <w:szCs w:val="32"/>
        </w:rPr>
        <w:t>翻浆路段应及时处理。</w:t>
      </w:r>
    </w:p>
    <w:p w14:paraId="15F7AF5B">
      <w:pPr>
        <w:pStyle w:val="21"/>
        <w:numPr>
          <w:ilvl w:val="0"/>
          <w:numId w:val="18"/>
        </w:numPr>
        <w:ind w:firstLineChars="0"/>
        <w:rPr>
          <w:bCs/>
          <w:szCs w:val="32"/>
        </w:rPr>
      </w:pPr>
      <w:r>
        <w:rPr>
          <w:bCs/>
          <w:szCs w:val="32"/>
        </w:rPr>
        <w:t>滑坡、高填方、崩塌地段及近接施工地段的路基应加强监测，宜增加智能监测手段，发现病害应及时整治。</w:t>
      </w:r>
    </w:p>
    <w:p w14:paraId="7AEA8CBB">
      <w:pPr>
        <w:pStyle w:val="21"/>
        <w:numPr>
          <w:ilvl w:val="0"/>
          <w:numId w:val="18"/>
        </w:numPr>
        <w:ind w:firstLineChars="0"/>
        <w:rPr>
          <w:bCs/>
          <w:szCs w:val="32"/>
        </w:rPr>
      </w:pPr>
      <w:r>
        <w:rPr>
          <w:bCs/>
          <w:szCs w:val="32"/>
        </w:rPr>
        <w:t>路基有空洞与塌陷处应及时进行处治。</w:t>
      </w:r>
    </w:p>
    <w:p w14:paraId="1AD5564D">
      <w:pPr>
        <w:pStyle w:val="3"/>
        <w:spacing w:before="156" w:after="156"/>
      </w:pPr>
      <w:bookmarkStart w:id="60" w:name="_Toc200377225"/>
      <w:r>
        <w:rPr>
          <w:rFonts w:hint="eastAsia"/>
        </w:rPr>
        <w:t>路肩</w:t>
      </w:r>
      <w:bookmarkEnd w:id="60"/>
    </w:p>
    <w:p w14:paraId="2DACE489">
      <w:pPr>
        <w:ind w:firstLine="560" w:firstLineChars="200"/>
      </w:pPr>
      <w:r>
        <w:rPr>
          <w:rFonts w:hint="eastAsia"/>
        </w:rPr>
        <w:t>路肩</w:t>
      </w:r>
      <w:r>
        <w:t>养护要求：</w:t>
      </w:r>
    </w:p>
    <w:p w14:paraId="3D90D1D8">
      <w:pPr>
        <w:pStyle w:val="21"/>
        <w:numPr>
          <w:ilvl w:val="0"/>
          <w:numId w:val="19"/>
        </w:numPr>
        <w:ind w:firstLineChars="0"/>
        <w:rPr>
          <w:bCs/>
          <w:szCs w:val="32"/>
        </w:rPr>
      </w:pPr>
      <w:r>
        <w:rPr>
          <w:bCs/>
          <w:szCs w:val="32"/>
        </w:rPr>
        <w:t>路肩应保持平整坚实，不应有积水、淤泥，并且要没有坑槽、车辙和缺口。路肩上不应堆放任何杂物或养护材料，以保持路肩的清洁和功能。</w:t>
      </w:r>
    </w:p>
    <w:p w14:paraId="38830BF3">
      <w:pPr>
        <w:pStyle w:val="21"/>
        <w:numPr>
          <w:ilvl w:val="0"/>
          <w:numId w:val="19"/>
        </w:numPr>
        <w:ind w:firstLineChars="0"/>
        <w:rPr>
          <w:bCs/>
          <w:szCs w:val="32"/>
        </w:rPr>
      </w:pPr>
      <w:r>
        <w:rPr>
          <w:bCs/>
          <w:szCs w:val="32"/>
        </w:rPr>
        <w:t>对于土质路肩，出现车辙、坑洼或与路面产生错合现象时，必须及时修整，并用与原路基相同的土填平夯实。土路肩过高时，应铲削整平，宜在雨后土壤湿润状态下进行，同时清理边沟，排除积水。</w:t>
      </w:r>
    </w:p>
    <w:p w14:paraId="5C94371D">
      <w:pPr>
        <w:pStyle w:val="21"/>
        <w:numPr>
          <w:ilvl w:val="0"/>
          <w:numId w:val="19"/>
        </w:numPr>
        <w:ind w:firstLineChars="0"/>
        <w:rPr>
          <w:bCs/>
          <w:szCs w:val="32"/>
        </w:rPr>
      </w:pPr>
      <w:r>
        <w:rPr>
          <w:bCs/>
          <w:szCs w:val="32"/>
        </w:rPr>
        <w:t>对于纵坡大于5%的路肩，应采取措施防止暴雨冲刷，如设置斜向截水明槽，用砾石或碎石填平，并在路肩边缘处设置拦水土埂。</w:t>
      </w:r>
    </w:p>
    <w:p w14:paraId="5829BD7D">
      <w:pPr>
        <w:pStyle w:val="21"/>
        <w:numPr>
          <w:ilvl w:val="0"/>
          <w:numId w:val="19"/>
        </w:numPr>
        <w:ind w:firstLineChars="0"/>
        <w:rPr>
          <w:bCs/>
          <w:szCs w:val="32"/>
        </w:rPr>
      </w:pPr>
      <w:r>
        <w:rPr>
          <w:bCs/>
          <w:szCs w:val="32"/>
        </w:rPr>
        <w:t>对于行车密度大的路线，应有计划地将土路肩改铺成能行车的硬路肩，如草皮加固、砂石加固或采用石灰土等稳定材料。</w:t>
      </w:r>
    </w:p>
    <w:p w14:paraId="2B811A17">
      <w:pPr>
        <w:pStyle w:val="3"/>
        <w:spacing w:before="156" w:after="156"/>
      </w:pPr>
      <w:bookmarkStart w:id="61" w:name="_Toc200377226"/>
      <w:r>
        <w:rPr>
          <w:rFonts w:hint="eastAsia"/>
        </w:rPr>
        <w:t>边坡</w:t>
      </w:r>
      <w:bookmarkEnd w:id="61"/>
    </w:p>
    <w:p w14:paraId="1799175D">
      <w:pPr>
        <w:ind w:firstLine="560" w:firstLineChars="200"/>
      </w:pPr>
      <w:r>
        <w:t>边坡养护要求：</w:t>
      </w:r>
    </w:p>
    <w:p w14:paraId="75E39FD7">
      <w:pPr>
        <w:pStyle w:val="21"/>
        <w:numPr>
          <w:ilvl w:val="0"/>
          <w:numId w:val="20"/>
        </w:numPr>
        <w:ind w:firstLineChars="0"/>
        <w:rPr>
          <w:bCs/>
          <w:szCs w:val="32"/>
        </w:rPr>
      </w:pPr>
      <w:r>
        <w:rPr>
          <w:bCs/>
          <w:szCs w:val="32"/>
        </w:rPr>
        <w:t>边坡上不得随意堆放或卸载。</w:t>
      </w:r>
    </w:p>
    <w:p w14:paraId="4079D4F0">
      <w:pPr>
        <w:pStyle w:val="21"/>
        <w:numPr>
          <w:ilvl w:val="0"/>
          <w:numId w:val="20"/>
        </w:numPr>
        <w:ind w:firstLineChars="0"/>
        <w:rPr>
          <w:bCs/>
          <w:szCs w:val="32"/>
        </w:rPr>
      </w:pPr>
      <w:r>
        <w:rPr>
          <w:bCs/>
          <w:szCs w:val="32"/>
        </w:rPr>
        <w:t>边坡的坡面应保持平顺、坚实，无冲沟、无裂缝。</w:t>
      </w:r>
    </w:p>
    <w:p w14:paraId="7EE17D7D">
      <w:pPr>
        <w:pStyle w:val="21"/>
        <w:numPr>
          <w:ilvl w:val="0"/>
          <w:numId w:val="20"/>
        </w:numPr>
        <w:ind w:firstLineChars="0"/>
        <w:rPr>
          <w:bCs/>
          <w:szCs w:val="32"/>
        </w:rPr>
      </w:pPr>
      <w:r>
        <w:rPr>
          <w:bCs/>
          <w:szCs w:val="32"/>
        </w:rPr>
        <w:t>边坡出现冲沟、缺口、裂缝、沉陷及塌落时，应及时整修。</w:t>
      </w:r>
    </w:p>
    <w:p w14:paraId="74A0EA07">
      <w:pPr>
        <w:pStyle w:val="21"/>
        <w:numPr>
          <w:ilvl w:val="0"/>
          <w:numId w:val="20"/>
        </w:numPr>
        <w:ind w:firstLineChars="0"/>
        <w:rPr>
          <w:bCs/>
          <w:szCs w:val="32"/>
        </w:rPr>
      </w:pPr>
      <w:r>
        <w:rPr>
          <w:bCs/>
          <w:szCs w:val="32"/>
        </w:rPr>
        <w:t>路基边坡出现潜流涌水应隔断水源，或采取其他导流措施。</w:t>
      </w:r>
    </w:p>
    <w:p w14:paraId="2A6B1695">
      <w:pPr>
        <w:pStyle w:val="21"/>
        <w:numPr>
          <w:ilvl w:val="0"/>
          <w:numId w:val="20"/>
        </w:numPr>
        <w:ind w:firstLineChars="0"/>
        <w:rPr>
          <w:bCs/>
          <w:szCs w:val="32"/>
        </w:rPr>
      </w:pPr>
      <w:r>
        <w:rPr>
          <w:bCs/>
          <w:szCs w:val="32"/>
        </w:rPr>
        <w:t>边沟、排水沟和截水沟的淤积物应及时清除，沟内流水应畅通，断面完好，水沟断面破损应及时修复。</w:t>
      </w:r>
    </w:p>
    <w:p w14:paraId="580AC3F2">
      <w:pPr>
        <w:pStyle w:val="3"/>
        <w:spacing w:before="156" w:after="156"/>
      </w:pPr>
      <w:bookmarkStart w:id="62" w:name="_Toc200377227"/>
      <w:r>
        <w:rPr>
          <w:rFonts w:hint="eastAsia"/>
        </w:rPr>
        <w:t>挡土墙</w:t>
      </w:r>
      <w:bookmarkEnd w:id="62"/>
    </w:p>
    <w:p w14:paraId="6BFF8E1A">
      <w:pPr>
        <w:ind w:firstLine="560" w:firstLineChars="200"/>
      </w:pPr>
      <w:r>
        <w:rPr>
          <w:rFonts w:hint="eastAsia"/>
        </w:rPr>
        <w:t>挡土墙养护要求：</w:t>
      </w:r>
    </w:p>
    <w:p w14:paraId="2D874F9F">
      <w:pPr>
        <w:pStyle w:val="21"/>
        <w:numPr>
          <w:ilvl w:val="0"/>
          <w:numId w:val="21"/>
        </w:numPr>
        <w:ind w:firstLineChars="0"/>
        <w:rPr>
          <w:bCs/>
          <w:szCs w:val="32"/>
        </w:rPr>
      </w:pPr>
      <w:r>
        <w:rPr>
          <w:bCs/>
          <w:szCs w:val="32"/>
        </w:rPr>
        <w:t>挡土墙应定期检查，发现异常现象应查明原因及时采取措施。</w:t>
      </w:r>
    </w:p>
    <w:p w14:paraId="69FAE549">
      <w:pPr>
        <w:pStyle w:val="21"/>
        <w:numPr>
          <w:ilvl w:val="0"/>
          <w:numId w:val="21"/>
        </w:numPr>
        <w:ind w:firstLineChars="0"/>
        <w:rPr>
          <w:bCs/>
          <w:szCs w:val="32"/>
        </w:rPr>
      </w:pPr>
      <w:r>
        <w:rPr>
          <w:bCs/>
          <w:szCs w:val="32"/>
        </w:rPr>
        <w:t>错杆式及加筋挡土墙，应经常检查有无变化、倾斜或肋柱、挡板损坏、断裂。如有损坏，应及时修理、加固或更换。</w:t>
      </w:r>
    </w:p>
    <w:p w14:paraId="10B6021A">
      <w:pPr>
        <w:pStyle w:val="21"/>
        <w:numPr>
          <w:ilvl w:val="0"/>
          <w:numId w:val="21"/>
        </w:numPr>
        <w:ind w:firstLineChars="0"/>
        <w:rPr>
          <w:bCs/>
          <w:szCs w:val="32"/>
        </w:rPr>
      </w:pPr>
      <w:r>
        <w:rPr>
          <w:bCs/>
          <w:szCs w:val="32"/>
        </w:rPr>
        <w:t>浸水挡土墙，除平时经常检查其有无损坏外，应在汛期前后详细观察、检查，发现病害应及时处治。</w:t>
      </w:r>
    </w:p>
    <w:p w14:paraId="465FC9ED">
      <w:pPr>
        <w:pStyle w:val="21"/>
        <w:numPr>
          <w:ilvl w:val="0"/>
          <w:numId w:val="21"/>
        </w:numPr>
        <w:ind w:firstLineChars="0"/>
        <w:rPr>
          <w:bCs/>
          <w:szCs w:val="32"/>
        </w:rPr>
      </w:pPr>
      <w:r>
        <w:rPr>
          <w:bCs/>
          <w:szCs w:val="32"/>
        </w:rPr>
        <w:t>高填方、滑坡带或设计文件要求监测等特殊路段挡土墙应定期进行变形监测。</w:t>
      </w:r>
    </w:p>
    <w:p w14:paraId="28509967">
      <w:pPr>
        <w:pStyle w:val="21"/>
        <w:numPr>
          <w:ilvl w:val="0"/>
          <w:numId w:val="21"/>
        </w:numPr>
        <w:ind w:firstLineChars="0"/>
        <w:rPr>
          <w:bCs/>
          <w:szCs w:val="32"/>
        </w:rPr>
      </w:pPr>
      <w:r>
        <w:rPr>
          <w:bCs/>
          <w:szCs w:val="32"/>
        </w:rPr>
        <w:t>应及时清除挡土墙上滋生的杂草和树丛，以防止损毁。</w:t>
      </w:r>
    </w:p>
    <w:p w14:paraId="6BD8942F">
      <w:pPr>
        <w:pStyle w:val="21"/>
        <w:numPr>
          <w:ilvl w:val="0"/>
          <w:numId w:val="21"/>
        </w:numPr>
        <w:ind w:firstLineChars="0"/>
        <w:rPr>
          <w:bCs/>
          <w:szCs w:val="32"/>
        </w:rPr>
      </w:pPr>
      <w:r>
        <w:rPr>
          <w:bCs/>
          <w:szCs w:val="32"/>
        </w:rPr>
        <w:t>挡土墙出现风化剥落时，应及时进行处理。</w:t>
      </w:r>
    </w:p>
    <w:p w14:paraId="48EA0E56">
      <w:pPr>
        <w:pStyle w:val="21"/>
        <w:numPr>
          <w:ilvl w:val="0"/>
          <w:numId w:val="21"/>
        </w:numPr>
        <w:ind w:firstLineChars="0"/>
        <w:rPr>
          <w:bCs/>
          <w:szCs w:val="32"/>
        </w:rPr>
      </w:pPr>
      <w:r>
        <w:rPr>
          <w:bCs/>
          <w:szCs w:val="32"/>
        </w:rPr>
        <w:t>挡土墙的泄水孔应保持畅通，如有堵塞，应及时疏通。如挡土墙出现严重渗水，应增设泄水孔或加做墙后排水设施。</w:t>
      </w:r>
    </w:p>
    <w:p w14:paraId="625FF293">
      <w:pPr>
        <w:pStyle w:val="21"/>
        <w:numPr>
          <w:ilvl w:val="0"/>
          <w:numId w:val="21"/>
        </w:numPr>
        <w:ind w:firstLineChars="0"/>
        <w:rPr>
          <w:bCs/>
          <w:szCs w:val="32"/>
        </w:rPr>
      </w:pPr>
      <w:r>
        <w:rPr>
          <w:bCs/>
          <w:szCs w:val="32"/>
        </w:rPr>
        <w:t>挡土墙出现裂缝、断缝、倾斜、鼓肚、滑动及下沉时，应先查明原因，然后进行相应处治。</w:t>
      </w:r>
    </w:p>
    <w:p w14:paraId="06017E88">
      <w:pPr>
        <w:pStyle w:val="2"/>
        <w:spacing w:before="156" w:after="156"/>
      </w:pPr>
      <w:bookmarkStart w:id="63" w:name="_Toc200377228"/>
      <w:r>
        <w:rPr>
          <w:rFonts w:hint="eastAsia"/>
        </w:rPr>
        <w:t>附属设施养护</w:t>
      </w:r>
      <w:bookmarkEnd w:id="63"/>
    </w:p>
    <w:p w14:paraId="4392D914">
      <w:pPr>
        <w:pStyle w:val="3"/>
        <w:spacing w:before="156" w:after="156"/>
      </w:pPr>
      <w:bookmarkStart w:id="64" w:name="_Toc200377229"/>
      <w:r>
        <w:rPr>
          <w:rFonts w:hint="eastAsia"/>
        </w:rPr>
        <w:t>无障碍设施</w:t>
      </w:r>
      <w:bookmarkEnd w:id="64"/>
    </w:p>
    <w:p w14:paraId="03D71662">
      <w:pPr>
        <w:pStyle w:val="4"/>
      </w:pPr>
      <w:r>
        <w:rPr>
          <w:rFonts w:hint="eastAsia"/>
          <w:shd w:val="clear" w:color="auto" w:fill="FFFFFF"/>
        </w:rPr>
        <w:t>检查</w:t>
      </w:r>
      <w:r>
        <w:rPr>
          <w:shd w:val="clear" w:color="auto" w:fill="FFFFFF"/>
        </w:rPr>
        <w:t>无障碍设施的完好性，包括盲道、缘石坡道、无障碍通道等，确保无障碍设施功能正常</w:t>
      </w:r>
      <w:r>
        <w:rPr>
          <w:rFonts w:hint="eastAsia"/>
          <w:shd w:val="clear" w:color="auto" w:fill="FFFFFF"/>
        </w:rPr>
        <w:t>。</w:t>
      </w:r>
    </w:p>
    <w:p w14:paraId="1EA69F18">
      <w:pPr>
        <w:pStyle w:val="4"/>
        <w:rPr>
          <w:shd w:val="clear" w:color="auto" w:fill="FFFFFF"/>
        </w:rPr>
      </w:pPr>
      <w:r>
        <w:rPr>
          <w:shd w:val="clear" w:color="auto" w:fill="FFFFFF"/>
        </w:rPr>
        <w:t>无障碍设施</w:t>
      </w:r>
      <w:r>
        <w:rPr>
          <w:rFonts w:hint="eastAsia"/>
          <w:shd w:val="clear" w:color="auto" w:fill="FFFFFF"/>
        </w:rPr>
        <w:t>及盲道</w:t>
      </w:r>
      <w:r>
        <w:rPr>
          <w:shd w:val="clear" w:color="auto" w:fill="FFFFFF"/>
        </w:rPr>
        <w:t>的养护</w:t>
      </w:r>
      <w:r>
        <w:rPr>
          <w:rFonts w:hint="eastAsia"/>
          <w:shd w:val="clear" w:color="auto" w:fill="FFFFFF"/>
        </w:rPr>
        <w:t>应</w:t>
      </w:r>
      <w:r>
        <w:rPr>
          <w:shd w:val="clear" w:color="auto" w:fill="FFFFFF"/>
        </w:rPr>
        <w:t>符合GB 50763</w:t>
      </w:r>
      <w:r>
        <w:rPr>
          <w:rFonts w:hint="eastAsia"/>
          <w:shd w:val="clear" w:color="auto" w:fill="FFFFFF"/>
        </w:rPr>
        <w:t>、</w:t>
      </w:r>
      <w:r>
        <w:rPr>
          <w:shd w:val="clear" w:color="auto" w:fill="FFFFFF"/>
        </w:rPr>
        <w:t>GB 50642的要求</w:t>
      </w:r>
      <w:r>
        <w:rPr>
          <w:rFonts w:hint="eastAsia"/>
          <w:shd w:val="clear" w:color="auto" w:fill="FFFFFF"/>
        </w:rPr>
        <w:t>。</w:t>
      </w:r>
    </w:p>
    <w:p w14:paraId="62B7DC20">
      <w:pPr>
        <w:pStyle w:val="4"/>
      </w:pPr>
      <w:r>
        <w:rPr>
          <w:shd w:val="clear" w:color="auto" w:fill="FFFFFF"/>
        </w:rPr>
        <w:t>盲道应保持平整，无破损、无积水</w:t>
      </w:r>
      <w:r>
        <w:rPr>
          <w:rFonts w:hint="eastAsia"/>
          <w:shd w:val="clear" w:color="auto" w:fill="FFFFFF"/>
        </w:rPr>
        <w:t>。</w:t>
      </w:r>
      <w:r>
        <w:rPr>
          <w:shd w:val="clear" w:color="auto" w:fill="FFFFFF"/>
        </w:rPr>
        <w:t>缘石坡道应稳固，无松动、无缺失</w:t>
      </w:r>
      <w:r>
        <w:rPr>
          <w:rFonts w:hint="eastAsia"/>
          <w:shd w:val="clear" w:color="auto" w:fill="FFFFFF"/>
        </w:rPr>
        <w:t>。</w:t>
      </w:r>
      <w:r>
        <w:rPr>
          <w:shd w:val="clear" w:color="auto" w:fill="FFFFFF"/>
        </w:rPr>
        <w:t>无障碍通道应保持畅通，无障碍物</w:t>
      </w:r>
      <w:r>
        <w:rPr>
          <w:rFonts w:hint="eastAsia"/>
          <w:shd w:val="clear" w:color="auto" w:fill="FFFFFF"/>
        </w:rPr>
        <w:t>。确保安全通行。</w:t>
      </w:r>
    </w:p>
    <w:p w14:paraId="7AAA4F2B">
      <w:pPr>
        <w:rPr>
          <w:shd w:val="clear" w:color="auto" w:fill="FFFFFF"/>
        </w:rPr>
      </w:pPr>
      <w:r>
        <w:rPr>
          <w:rFonts w:hint="eastAsia"/>
          <w:shd w:val="clear" w:color="auto" w:fill="FFFFFF"/>
        </w:rPr>
        <w:t>盲道砌块缺失或损坏应及时修补;提示盲道的块型和位置应安装正确。</w:t>
      </w:r>
    </w:p>
    <w:p w14:paraId="0D7BFC17">
      <w:pPr>
        <w:pStyle w:val="4"/>
        <w:rPr>
          <w:shd w:val="clear" w:color="auto" w:fill="FFFFFF"/>
        </w:rPr>
      </w:pPr>
      <w:r>
        <w:rPr>
          <w:rFonts w:hint="eastAsia"/>
          <w:shd w:val="clear" w:color="auto" w:fill="FFFFFF"/>
        </w:rPr>
        <w:t>盲道的纹路应凸出路面4mm高，行进盲道应与人行道的走向一致，盲道型材表面应防滑。</w:t>
      </w:r>
    </w:p>
    <w:p w14:paraId="129BC2E1">
      <w:pPr>
        <w:pStyle w:val="4"/>
        <w:rPr>
          <w:shd w:val="clear" w:color="auto" w:fill="FFFFFF"/>
        </w:rPr>
      </w:pPr>
      <w:r>
        <w:rPr>
          <w:rFonts w:hint="eastAsia"/>
          <w:shd w:val="clear" w:color="auto" w:fill="FFFFFF"/>
        </w:rPr>
        <w:t>盲道铺设应连续，应避开树木(穴)、电线杆、拉线等障碍物，宜在距树池、围墙、花台、绿化带250mm~500mm处设置，其他设施不得占用盲道。</w:t>
      </w:r>
    </w:p>
    <w:p w14:paraId="4297C212">
      <w:pPr>
        <w:pStyle w:val="4"/>
        <w:rPr>
          <w:shd w:val="clear" w:color="auto" w:fill="FFFFFF"/>
        </w:rPr>
      </w:pPr>
      <w:r>
        <w:rPr>
          <w:rFonts w:hint="eastAsia"/>
          <w:shd w:val="clear" w:color="auto" w:fill="FFFFFF"/>
        </w:rPr>
        <w:t>盲道的颜色宜与相邻的人行道铺面的颜色形成对比，并与周围景观相协调，宜采用中黄色。</w:t>
      </w:r>
    </w:p>
    <w:p w14:paraId="31BB9651">
      <w:pPr>
        <w:pStyle w:val="3"/>
        <w:spacing w:before="156" w:after="156"/>
      </w:pPr>
      <w:bookmarkStart w:id="65" w:name="_Toc200377230"/>
      <w:r>
        <w:rPr>
          <w:rFonts w:hint="eastAsia"/>
        </w:rPr>
        <w:t>边沟、排水沟、截水沟</w:t>
      </w:r>
      <w:bookmarkEnd w:id="65"/>
    </w:p>
    <w:p w14:paraId="2B9FA6FD">
      <w:pPr>
        <w:pStyle w:val="4"/>
      </w:pPr>
      <w:r>
        <w:rPr>
          <w:rFonts w:hint="eastAsia"/>
        </w:rPr>
        <w:t>应对边沟、排水沟、截水沟进行有计划的巡查，盖板等设施应规范、整齐、完好，路基排水应畅通，排水设施内的淤积物应及时清除，设施的破损应及时整修恢复。</w:t>
      </w:r>
    </w:p>
    <w:p w14:paraId="0F2F7974">
      <w:pPr>
        <w:pStyle w:val="4"/>
      </w:pPr>
      <w:r>
        <w:rPr>
          <w:rFonts w:hint="eastAsia"/>
        </w:rPr>
        <w:t>边沟沟底纵坡不宜&lt;0.3%，困难情况下不宜&lt;0.1%。当土质为细砂质土及粉砂土且纵坡在1 %~2 %，或为粉砂黏土且纵坡为3 %~4 %，或流量大时，应加固边沟。</w:t>
      </w:r>
    </w:p>
    <w:p w14:paraId="254665AF">
      <w:pPr>
        <w:pStyle w:val="3"/>
        <w:spacing w:before="156" w:after="156"/>
      </w:pPr>
      <w:bookmarkStart w:id="66" w:name="_Toc200377231"/>
      <w:r>
        <w:rPr>
          <w:rFonts w:hint="eastAsia"/>
        </w:rPr>
        <w:t>检查井、雨水井</w:t>
      </w:r>
      <w:bookmarkEnd w:id="66"/>
    </w:p>
    <w:p w14:paraId="390CCD99">
      <w:pPr>
        <w:pStyle w:val="4"/>
      </w:pPr>
      <w:r>
        <w:rPr>
          <w:rFonts w:hint="eastAsia"/>
        </w:rPr>
        <w:t>路面上检查井和雨水口的井具，其材质应满足道路通行要求。安装应牢固并保持与路面平顺相接。检查井及其周围路面1.5m范围内不得出现沉陷、突起或破损。</w:t>
      </w:r>
    </w:p>
    <w:p w14:paraId="756DC8C3">
      <w:pPr>
        <w:pStyle w:val="4"/>
      </w:pPr>
      <w:r>
        <w:rPr>
          <w:rFonts w:hint="eastAsia"/>
        </w:rPr>
        <w:t>检查井和雨水口的井具出现松动，或发现井座、井盖、井篦断裂、丢失或不配套，应及时维修补装完整。具体修复流程详见5</w:t>
      </w:r>
      <w:r>
        <w:t>.2.8</w:t>
      </w:r>
      <w:r>
        <w:rPr>
          <w:rFonts w:hint="eastAsia"/>
        </w:rPr>
        <w:t>。</w:t>
      </w:r>
    </w:p>
    <w:p w14:paraId="2A387B3E">
      <w:pPr>
        <w:pStyle w:val="4"/>
      </w:pPr>
      <w:r>
        <w:rPr>
          <w:rFonts w:hint="eastAsia"/>
        </w:rPr>
        <w:t>在路面上设置的其他种类的检查井，应符合GB/T 23858的要求。</w:t>
      </w:r>
    </w:p>
    <w:p w14:paraId="27E436F5">
      <w:pPr>
        <w:pStyle w:val="4"/>
      </w:pPr>
      <w:r>
        <w:rPr>
          <w:rFonts w:hint="eastAsia"/>
        </w:rPr>
        <w:t>安装检查井和雨水口的井座时，应采用细石混凝土坐浆或灌浆，其强度不应&lt;30 MPa。</w:t>
      </w:r>
    </w:p>
    <w:p w14:paraId="5CDE3EE2">
      <w:pPr>
        <w:pStyle w:val="4"/>
      </w:pPr>
      <w:r>
        <w:rPr>
          <w:rFonts w:hint="eastAsia"/>
        </w:rPr>
        <w:t>检查井井具与路面的安装高差，应在5 mm以内。</w:t>
      </w:r>
    </w:p>
    <w:p w14:paraId="74C2BE52">
      <w:pPr>
        <w:pStyle w:val="4"/>
      </w:pPr>
      <w:r>
        <w:rPr>
          <w:rFonts w:hint="eastAsia"/>
        </w:rPr>
        <w:t>维修后的检查井和雨水口，在养生期间应设置围挡和安全标志。</w:t>
      </w:r>
    </w:p>
    <w:p w14:paraId="2036D3D9">
      <w:pPr>
        <w:pStyle w:val="4"/>
      </w:pPr>
      <w:r>
        <w:rPr>
          <w:rFonts w:hint="eastAsia"/>
        </w:rPr>
        <w:t>需维修的检查井和雨水口，在修补路面前，井座周围和面层以下道路结构部分应夯填密实，其强度和稳定性不应小于该处原道路结构要求。</w:t>
      </w:r>
    </w:p>
    <w:p w14:paraId="4BB7EE80">
      <w:pPr>
        <w:pStyle w:val="4"/>
      </w:pPr>
      <w:r>
        <w:rPr>
          <w:rFonts w:hint="eastAsia"/>
        </w:rPr>
        <w:t>雨水口的安装高度，应低于该处路面标高20mm。应在雨水口向外≥1m范围内顺坡找齐。</w:t>
      </w:r>
    </w:p>
    <w:p w14:paraId="5D99A09B">
      <w:pPr>
        <w:pStyle w:val="4"/>
      </w:pPr>
      <w:r>
        <w:rPr>
          <w:rFonts w:hint="eastAsia"/>
        </w:rPr>
        <w:t>改建或增设的雨水口，应满足排水养护和设计的要求。</w:t>
      </w:r>
    </w:p>
    <w:p w14:paraId="01967FD6">
      <w:pPr>
        <w:pStyle w:val="4"/>
      </w:pPr>
      <w:r>
        <w:rPr>
          <w:rFonts w:hint="eastAsia"/>
        </w:rPr>
        <w:t>当检查井维修调整需快速恢复交通或应急抢修时，宜采用快速修复材料。</w:t>
      </w:r>
    </w:p>
    <w:p w14:paraId="1A532AF7">
      <w:pPr>
        <w:pStyle w:val="3"/>
        <w:spacing w:before="156" w:after="156"/>
      </w:pPr>
      <w:bookmarkStart w:id="67" w:name="_Toc200377232"/>
      <w:r>
        <w:rPr>
          <w:rFonts w:hint="eastAsia"/>
        </w:rPr>
        <w:t>分隔带、</w:t>
      </w:r>
      <w:r>
        <w:rPr>
          <w:rFonts w:hint="eastAsia"/>
          <w:lang w:eastAsia="zh-CN"/>
        </w:rPr>
        <w:t>护栏</w:t>
      </w:r>
      <w:r>
        <w:rPr>
          <w:rFonts w:hint="eastAsia"/>
        </w:rPr>
        <w:t>和隔离墩</w:t>
      </w:r>
      <w:bookmarkEnd w:id="67"/>
    </w:p>
    <w:p w14:paraId="665F56F3">
      <w:pPr>
        <w:pStyle w:val="4"/>
      </w:pPr>
      <w:r>
        <w:rPr>
          <w:rFonts w:hint="eastAsia"/>
        </w:rPr>
        <w:t>分隔带、护栏及防护栏应保持整齐、清洁、无缺损。当损坏或丢失，应按原设计的样式、颜色及时修补。</w:t>
      </w:r>
    </w:p>
    <w:p w14:paraId="0C427950">
      <w:pPr>
        <w:pStyle w:val="4"/>
      </w:pPr>
      <w:r>
        <w:rPr>
          <w:rFonts w:hint="eastAsia"/>
        </w:rPr>
        <w:t>道路绿带内树木栽种在绿带横断面中间，应定期修剪整形，不得影响行车视线。</w:t>
      </w:r>
    </w:p>
    <w:p w14:paraId="3B166008">
      <w:pPr>
        <w:pStyle w:val="4"/>
      </w:pPr>
      <w:r>
        <w:rPr>
          <w:rFonts w:hint="eastAsia"/>
        </w:rPr>
        <w:t>防撞墩类分隔带应保持整齐、醒目、定期清洗。</w:t>
      </w:r>
    </w:p>
    <w:p w14:paraId="5406AB04">
      <w:pPr>
        <w:pStyle w:val="4"/>
      </w:pPr>
      <w:r>
        <w:rPr>
          <w:rFonts w:hint="eastAsia"/>
        </w:rPr>
        <w:t>金属类护栏，宜定期清洗。当油漆脱落面积较大、有锈蚀现象，应重新刷涂油漆。</w:t>
      </w:r>
    </w:p>
    <w:p w14:paraId="2B987230">
      <w:pPr>
        <w:pStyle w:val="4"/>
      </w:pPr>
      <w:r>
        <w:rPr>
          <w:rFonts w:hint="eastAsia"/>
        </w:rPr>
        <w:t>护栏及防护栏应有足够的强度、刚度和稳定性。</w:t>
      </w:r>
    </w:p>
    <w:p w14:paraId="4396A62E">
      <w:pPr>
        <w:pStyle w:val="4"/>
      </w:pPr>
      <w:r>
        <w:rPr>
          <w:rFonts w:hint="eastAsia"/>
        </w:rPr>
        <w:t>反光警示条带缺失、油漆脱落或锈蚀时应及时修复。</w:t>
      </w:r>
    </w:p>
    <w:p w14:paraId="166E377E">
      <w:pPr>
        <w:pStyle w:val="3"/>
        <w:spacing w:before="156" w:after="156"/>
      </w:pPr>
      <w:bookmarkStart w:id="68" w:name="_Toc200377233"/>
      <w:r>
        <w:rPr>
          <w:rFonts w:hint="eastAsia"/>
        </w:rPr>
        <w:t>声屏障、标志牌、防眩板、标线</w:t>
      </w:r>
      <w:bookmarkEnd w:id="68"/>
    </w:p>
    <w:p w14:paraId="77D81F02">
      <w:pPr>
        <w:pStyle w:val="4"/>
      </w:pPr>
      <w:r>
        <w:rPr>
          <w:rFonts w:hint="eastAsia"/>
        </w:rPr>
        <w:t>标志牌、声屏障、防眩板、标线应清洁、完整、无缺损，标志牌的字迹应清晰。</w:t>
      </w:r>
    </w:p>
    <w:p w14:paraId="3250A196">
      <w:pPr>
        <w:pStyle w:val="4"/>
      </w:pPr>
      <w:r>
        <w:rPr>
          <w:rFonts w:hint="eastAsia"/>
        </w:rPr>
        <w:t>标志牌、声屏障、防眩板出现松动或倾斜等现象时应及时进行修复，对严重破损的应及时更换。</w:t>
      </w:r>
    </w:p>
    <w:p w14:paraId="20A4B3A8">
      <w:pPr>
        <w:pStyle w:val="4"/>
      </w:pPr>
      <w:r>
        <w:rPr>
          <w:rFonts w:hint="eastAsia"/>
        </w:rPr>
        <w:t>对破损严重、脱落、掉色的标线应及时补划。</w:t>
      </w:r>
    </w:p>
    <w:p w14:paraId="7FD5FEFC">
      <w:pPr>
        <w:pStyle w:val="3"/>
        <w:spacing w:before="156" w:after="156"/>
      </w:pPr>
      <w:bookmarkStart w:id="69" w:name="_Toc200377234"/>
      <w:r>
        <w:rPr>
          <w:rFonts w:hint="eastAsia"/>
        </w:rPr>
        <w:t>踏步</w:t>
      </w:r>
      <w:bookmarkEnd w:id="69"/>
    </w:p>
    <w:p w14:paraId="5B45C708">
      <w:pPr>
        <w:pStyle w:val="4"/>
      </w:pPr>
      <w:r>
        <w:rPr>
          <w:rFonts w:hint="eastAsia"/>
        </w:rPr>
        <w:t>梯踏步出现沉陷、断裂、松动及其他严重破损或失稳时，应及时用同种材料和规格进行维修。更换时应夯实基础做到平顺、稳固。</w:t>
      </w:r>
    </w:p>
    <w:p w14:paraId="7F585EDD">
      <w:pPr>
        <w:pStyle w:val="4"/>
      </w:pPr>
      <w:r>
        <w:rPr>
          <w:rFonts w:hint="eastAsia"/>
        </w:rPr>
        <w:t>维修梯踏步每阶高度尺寸应一致，梯踏步顶面应具有防滑性能。</w:t>
      </w:r>
    </w:p>
    <w:p w14:paraId="2556A470">
      <w:pPr>
        <w:pStyle w:val="3"/>
        <w:spacing w:before="156" w:after="156"/>
      </w:pPr>
      <w:bookmarkStart w:id="70" w:name="_Toc200377235"/>
      <w:r>
        <w:rPr>
          <w:rFonts w:hint="eastAsia"/>
        </w:rPr>
        <w:t>缘石</w:t>
      </w:r>
      <w:bookmarkEnd w:id="70"/>
    </w:p>
    <w:p w14:paraId="7DCFD2AF">
      <w:pPr>
        <w:pStyle w:val="4"/>
      </w:pPr>
      <w:r>
        <w:rPr>
          <w:rFonts w:hint="eastAsia"/>
        </w:rPr>
        <w:t>缘石应经常保持稳固、直顺，并与道路的线形一致。发生挤压变形，拱胀变形应予以调整，所用材料要考虑其磨损及抗撞击性能。调整后的缘石要及时勾缝。</w:t>
      </w:r>
    </w:p>
    <w:p w14:paraId="074F58C7">
      <w:pPr>
        <w:pStyle w:val="4"/>
      </w:pPr>
      <w:r>
        <w:rPr>
          <w:rFonts w:hint="eastAsia"/>
        </w:rPr>
        <w:t>更换的缘石规格、材质应与原缘石一致。</w:t>
      </w:r>
    </w:p>
    <w:p w14:paraId="27455FBE">
      <w:pPr>
        <w:pStyle w:val="4"/>
      </w:pPr>
      <w:r>
        <w:rPr>
          <w:rFonts w:hint="eastAsia"/>
        </w:rPr>
        <w:t xml:space="preserve">花岗石、大理石类的缘石，其缝宽不得&lt;3 mm，最大缝宽不得超过10 </w:t>
      </w:r>
      <w:r>
        <w:t>mm</w:t>
      </w:r>
      <w:r>
        <w:rPr>
          <w:rFonts w:hint="eastAsia"/>
        </w:rPr>
        <w:t>。</w:t>
      </w:r>
    </w:p>
    <w:p w14:paraId="0B607ED3">
      <w:pPr>
        <w:pStyle w:val="3"/>
        <w:spacing w:before="156" w:after="156"/>
      </w:pPr>
      <w:bookmarkStart w:id="71" w:name="_Toc200377236"/>
      <w:r>
        <w:rPr>
          <w:rFonts w:hint="eastAsia"/>
        </w:rPr>
        <w:t>树池</w:t>
      </w:r>
      <w:bookmarkEnd w:id="71"/>
    </w:p>
    <w:p w14:paraId="3B674C21">
      <w:pPr>
        <w:pStyle w:val="4"/>
      </w:pPr>
      <w:r>
        <w:rPr>
          <w:rFonts w:hint="eastAsia"/>
        </w:rPr>
        <w:t>树池的养护应符合下列要求:</w:t>
      </w:r>
    </w:p>
    <w:p w14:paraId="1B9D9C90">
      <w:pPr>
        <w:pStyle w:val="21"/>
        <w:numPr>
          <w:ilvl w:val="0"/>
          <w:numId w:val="22"/>
        </w:numPr>
        <w:ind w:left="0" w:firstLine="420" w:firstLineChars="0"/>
      </w:pPr>
      <w:r>
        <w:rPr>
          <w:rFonts w:hint="eastAsia"/>
        </w:rPr>
        <w:t>树池边框应与人行道相接平整;</w:t>
      </w:r>
    </w:p>
    <w:p w14:paraId="4AB0FCC0">
      <w:pPr>
        <w:pStyle w:val="21"/>
        <w:numPr>
          <w:ilvl w:val="0"/>
          <w:numId w:val="22"/>
        </w:numPr>
        <w:ind w:left="0" w:firstLine="420" w:firstLineChars="0"/>
      </w:pPr>
      <w:r>
        <w:rPr>
          <w:rFonts w:hint="eastAsia"/>
        </w:rPr>
        <w:t>人行道树池尺寸宜根据步道宽度确定。</w:t>
      </w:r>
    </w:p>
    <w:p w14:paraId="597D36CA">
      <w:pPr>
        <w:pStyle w:val="4"/>
      </w:pPr>
      <w:r>
        <w:rPr>
          <w:rFonts w:hint="eastAsia"/>
        </w:rPr>
        <w:t>树池出现断裂、缺失应及时维修更换。|</w:t>
      </w:r>
    </w:p>
    <w:p w14:paraId="16FD911E">
      <w:pPr>
        <w:pStyle w:val="2"/>
        <w:spacing w:before="156" w:after="156"/>
      </w:pPr>
      <w:bookmarkStart w:id="72" w:name="_Toc200377237"/>
      <w:r>
        <w:rPr>
          <w:rFonts w:hint="eastAsia"/>
        </w:rPr>
        <w:t>掘路修复</w:t>
      </w:r>
      <w:bookmarkEnd w:id="72"/>
    </w:p>
    <w:p w14:paraId="5961A50E">
      <w:r>
        <w:rPr>
          <w:rFonts w:hint="eastAsia"/>
        </w:rPr>
        <w:t>掘路修复应符合DB</w:t>
      </w:r>
      <w:r>
        <w:t>4202/T 38</w:t>
      </w:r>
      <w:r>
        <w:rPr>
          <w:rFonts w:hint="eastAsia"/>
        </w:rPr>
        <w:t>的相关规定。</w:t>
      </w:r>
    </w:p>
    <w:p w14:paraId="0D0EC63E">
      <w:pPr>
        <w:pStyle w:val="2"/>
        <w:spacing w:before="156" w:after="156"/>
      </w:pPr>
      <w:bookmarkStart w:id="73" w:name="_Toc200377238"/>
      <w:r>
        <w:rPr>
          <w:rFonts w:hint="eastAsia"/>
        </w:rPr>
        <w:t>养护作业安全防护</w:t>
      </w:r>
      <w:bookmarkEnd w:id="73"/>
    </w:p>
    <w:p w14:paraId="258D7F55">
      <w:pPr>
        <w:pStyle w:val="3"/>
        <w:spacing w:before="156" w:after="156"/>
      </w:pPr>
      <w:bookmarkStart w:id="74" w:name="_Toc200377239"/>
      <w:r>
        <w:rPr>
          <w:rFonts w:hint="eastAsia"/>
        </w:rPr>
        <w:t>一般规定</w:t>
      </w:r>
      <w:bookmarkEnd w:id="74"/>
    </w:p>
    <w:p w14:paraId="41B98A80">
      <w:pPr>
        <w:pStyle w:val="4"/>
      </w:pPr>
      <w:r>
        <w:t>养护作业人员上岗前必须进行安全技术培训。进入养护作业现场内的人员，必须穿戴具有反光功能的安全标志服和防护帽。</w:t>
      </w:r>
    </w:p>
    <w:p w14:paraId="1AE5FCE5">
      <w:pPr>
        <w:pStyle w:val="4"/>
      </w:pPr>
      <w:r>
        <w:t>养护作业现场应设置明显安全标志，采取有效的安全防护。</w:t>
      </w:r>
    </w:p>
    <w:p w14:paraId="71B76BE3">
      <w:pPr>
        <w:pStyle w:val="4"/>
      </w:pPr>
      <w:r>
        <w:t>摆放安全防护设施时，作业人员必须处于安全保护区域内，确保安全。</w:t>
      </w:r>
    </w:p>
    <w:p w14:paraId="4574006A">
      <w:pPr>
        <w:pStyle w:val="4"/>
      </w:pPr>
      <w:r>
        <w:t>应由专职的安全人员对施工作业安全进行监督，可由经过安全培训的人员疏导现场交通。</w:t>
      </w:r>
    </w:p>
    <w:p w14:paraId="3FAD23A9">
      <w:pPr>
        <w:pStyle w:val="4"/>
      </w:pPr>
      <w:r>
        <w:t>养护作业人员不得随意走出安全保护区，不得将施工机具和材料置于安全保护区外。</w:t>
      </w:r>
    </w:p>
    <w:p w14:paraId="048171EA">
      <w:pPr>
        <w:pStyle w:val="4"/>
      </w:pPr>
      <w:r>
        <w:t>进入养护作业现场的作业车辆，应配置警示标志、灯具，车身应使用统一标志。其规格、颜色、品种、性能应符合GB 5768的要求。</w:t>
      </w:r>
    </w:p>
    <w:p w14:paraId="00FF7029">
      <w:pPr>
        <w:pStyle w:val="4"/>
      </w:pPr>
      <w:r>
        <w:t>当遇大雾、大雨、冰雪天气时，应暂停养护作业。在应急抢险、排除道路积水、消除冰雪时，宜封闭交通。施工作业完毕后，应及时清除路上的障碍物，消除安全隐患。</w:t>
      </w:r>
    </w:p>
    <w:p w14:paraId="51C2F1B1">
      <w:pPr>
        <w:pStyle w:val="4"/>
      </w:pPr>
      <w:r>
        <w:t>城市道路临时占道作业安全管理和技术操作应满足GA 5768和GA/T 900的要求。</w:t>
      </w:r>
    </w:p>
    <w:p w14:paraId="4952FE74">
      <w:pPr>
        <w:pStyle w:val="4"/>
      </w:pPr>
      <w:r>
        <w:t>快速路同一行车方向相同断面两侧车道不应同时作业。</w:t>
      </w:r>
    </w:p>
    <w:p w14:paraId="33D7468A">
      <w:pPr>
        <w:pStyle w:val="3"/>
        <w:spacing w:before="156" w:after="156"/>
      </w:pPr>
      <w:bookmarkStart w:id="75" w:name="_Toc200377240"/>
      <w:r>
        <w:rPr>
          <w:rFonts w:hint="eastAsia"/>
        </w:rPr>
        <w:t>交通安全措施</w:t>
      </w:r>
      <w:bookmarkEnd w:id="75"/>
    </w:p>
    <w:p w14:paraId="2D493E2D">
      <w:pPr>
        <w:pStyle w:val="4"/>
      </w:pPr>
      <w:r>
        <w:t>养小修作业现场应采用锥形交通标、护栏划分出作业区和行驶区。</w:t>
      </w:r>
    </w:p>
    <w:p w14:paraId="493913A6">
      <w:pPr>
        <w:jc w:val="center"/>
      </w:pPr>
      <w:r>
        <w:rPr>
          <w:rFonts w:hint="eastAsia" w:ascii="宋体" w:hAnsi="宋体" w:cs="Helvetica"/>
          <w:color w:val="060607"/>
          <w:spacing w:val="4"/>
          <w:sz w:val="24"/>
          <w:szCs w:val="24"/>
        </w:rPr>
        <w:drawing>
          <wp:inline distT="0" distB="0" distL="0" distR="0">
            <wp:extent cx="2447925" cy="183134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448000" cy="1831428"/>
                    </a:xfrm>
                    <a:prstGeom prst="rect">
                      <a:avLst/>
                    </a:prstGeom>
                    <a:noFill/>
                    <a:ln>
                      <a:noFill/>
                    </a:ln>
                  </pic:spPr>
                </pic:pic>
              </a:graphicData>
            </a:graphic>
          </wp:inline>
        </w:drawing>
      </w:r>
    </w:p>
    <w:p w14:paraId="771FF3D2">
      <w:pPr>
        <w:pStyle w:val="4"/>
      </w:pPr>
      <w:r>
        <w:t>夜间施工时，养护作业区照明应充足，并应设置频闪警示标志。</w:t>
      </w:r>
    </w:p>
    <w:p w14:paraId="4B503EBD">
      <w:pPr>
        <w:pStyle w:val="4"/>
      </w:pPr>
      <w:r>
        <w:t>养护作业时应依据施工宽度和现场交通条件，采取局部封闭或全幅路封闭。采取道路局部封闭时，安全保护区的布设应按顺序分别为警告区、上游过渡区、缓冲区、作业区、下游过渡区、终止区。每个区域布设的交通标志的种类、规格、颜色、安置的距离、位置应符合GB 5768.2的要求。</w:t>
      </w:r>
    </w:p>
    <w:p w14:paraId="3D8EAAD4">
      <w:pPr>
        <w:pStyle w:val="4"/>
      </w:pPr>
      <w:r>
        <w:t>采取道路全幅封闭时，应在绕行路口的前方设置指路标志，在安全保护区的两端设置路障及警示标志。道路养护流动作业车辆后方必须悬挂移动性施工标志。</w:t>
      </w:r>
    </w:p>
    <w:p w14:paraId="541FE9C0">
      <w:pPr>
        <w:pStyle w:val="3"/>
        <w:spacing w:before="156" w:after="156"/>
      </w:pPr>
      <w:bookmarkStart w:id="76" w:name="_Toc200377241"/>
      <w:r>
        <w:rPr>
          <w:rFonts w:hint="eastAsia"/>
        </w:rPr>
        <w:t>流动作业要求</w:t>
      </w:r>
      <w:bookmarkEnd w:id="76"/>
    </w:p>
    <w:p w14:paraId="01CB9216">
      <w:pPr>
        <w:pStyle w:val="4"/>
      </w:pPr>
      <w:r>
        <w:rPr>
          <w:rFonts w:hint="eastAsia"/>
        </w:rPr>
        <w:t>流动作业车辆后方必须悬挂移动性施工标志。</w:t>
      </w:r>
    </w:p>
    <w:p w14:paraId="2C3AB376">
      <w:pPr>
        <w:pStyle w:val="4"/>
      </w:pPr>
      <w:r>
        <w:rPr>
          <w:rFonts w:hint="eastAsia"/>
        </w:rPr>
        <w:t>行走作业车辆必须具备双侧转向指示灯、警示灯和箭式导向灯牌设备，作业时必须开启。</w:t>
      </w:r>
    </w:p>
    <w:p w14:paraId="037E71B5">
      <w:pPr>
        <w:pStyle w:val="4"/>
      </w:pPr>
      <w:r>
        <w:rPr>
          <w:rFonts w:hint="eastAsia"/>
        </w:rPr>
        <w:t>作业车辆应限速行驶，不得任意调头、倒车和逆向行驶。</w:t>
      </w:r>
    </w:p>
    <w:p w14:paraId="685836FA">
      <w:pPr>
        <w:pStyle w:val="4"/>
      </w:pPr>
      <w:r>
        <w:rPr>
          <w:rFonts w:hint="eastAsia"/>
        </w:rPr>
        <w:t>随车作业人员必须在车辆前方区城内作业</w:t>
      </w:r>
      <w:r>
        <w:t>;如需停留作业时,应在车辆后方采取安全防护措施。</w:t>
      </w:r>
    </w:p>
    <w:p w14:paraId="6CAC43E4">
      <w:pPr>
        <w:pStyle w:val="2"/>
        <w:spacing w:before="156" w:after="156"/>
      </w:pPr>
      <w:bookmarkStart w:id="77" w:name="_Toc200377242"/>
      <w:r>
        <w:rPr>
          <w:rFonts w:hint="eastAsia"/>
        </w:rPr>
        <w:t>养护工程检查与验收</w:t>
      </w:r>
      <w:bookmarkEnd w:id="77"/>
    </w:p>
    <w:p w14:paraId="1353CF3F">
      <w:pPr>
        <w:pStyle w:val="4"/>
        <w:numPr>
          <w:ilvl w:val="0"/>
          <w:numId w:val="0"/>
        </w:numPr>
      </w:pPr>
      <w:r>
        <w:rPr>
          <w:rFonts w:hint="eastAsia"/>
        </w:rPr>
        <w:t>1</w:t>
      </w:r>
      <w:r>
        <w:t xml:space="preserve">2.1 </w:t>
      </w:r>
      <w:r>
        <w:rPr>
          <w:rFonts w:hint="eastAsia"/>
        </w:rPr>
        <w:t>养护工程的检查与验收应包括预防性养护、保养小修。</w:t>
      </w:r>
    </w:p>
    <w:p w14:paraId="7396C441">
      <w:pPr>
        <w:pStyle w:val="4"/>
        <w:numPr>
          <w:ilvl w:val="0"/>
          <w:numId w:val="0"/>
        </w:numPr>
      </w:pPr>
      <w:r>
        <w:rPr>
          <w:rFonts w:hint="eastAsia"/>
        </w:rPr>
        <w:t>1</w:t>
      </w:r>
      <w:r>
        <w:t xml:space="preserve">2.2 </w:t>
      </w:r>
      <w:r>
        <w:rPr>
          <w:rFonts w:hint="eastAsia"/>
        </w:rPr>
        <w:t>养护单位应对保养小修质量进行自查，建立自查技术档案，自查结果报管理单位备案，管理单位应进行质量抽检。</w:t>
      </w:r>
    </w:p>
    <w:p w14:paraId="0CD5B210">
      <w:r>
        <w:rPr>
          <w:rFonts w:hint="eastAsia"/>
        </w:rPr>
        <w:t>1</w:t>
      </w:r>
      <w:r>
        <w:t xml:space="preserve">2.3 </w:t>
      </w:r>
      <w:r>
        <w:rPr>
          <w:rFonts w:hint="eastAsia"/>
        </w:rPr>
        <w:t>沥青路面、水泥混凝土路面、人行道等设施养护工程的检查与验收应符合CJJ</w:t>
      </w:r>
      <w:r>
        <w:t xml:space="preserve"> 36</w:t>
      </w:r>
      <w:r>
        <w:rPr>
          <w:rFonts w:hint="eastAsia"/>
        </w:rPr>
        <w:t>的相关要求。</w:t>
      </w:r>
    </w:p>
    <w:p w14:paraId="5365A392">
      <w:pPr>
        <w:pStyle w:val="2"/>
        <w:spacing w:before="156" w:after="156"/>
      </w:pPr>
      <w:bookmarkStart w:id="78" w:name="_Toc200377243"/>
      <w:r>
        <w:rPr>
          <w:rFonts w:hint="eastAsia"/>
        </w:rPr>
        <w:t>技术档案管理</w:t>
      </w:r>
      <w:bookmarkEnd w:id="78"/>
    </w:p>
    <w:p w14:paraId="4BED329E">
      <w:pPr>
        <w:pStyle w:val="3"/>
        <w:spacing w:before="0" w:beforeLines="0" w:after="0" w:afterLines="0"/>
        <w:rPr>
          <w:rFonts w:ascii="宋体" w:hAnsi="宋体" w:eastAsia="宋体"/>
        </w:rPr>
      </w:pPr>
      <w:bookmarkStart w:id="79" w:name="_Toc200377244"/>
      <w:bookmarkStart w:id="80" w:name="_Toc198808209"/>
      <w:bookmarkStart w:id="81" w:name="_Toc188262645"/>
      <w:bookmarkStart w:id="82" w:name="_Toc194944425"/>
      <w:bookmarkStart w:id="83" w:name="_Toc194928852"/>
      <w:r>
        <w:rPr>
          <w:rFonts w:hint="eastAsia" w:ascii="宋体" w:hAnsi="宋体" w:eastAsia="宋体"/>
        </w:rPr>
        <w:t>城市道路养护应建立健全技术档案管理制度，严格遵守和贯彻执行有关技术标准、规范和规程，逐步建立道路养护信息管理平台。</w:t>
      </w:r>
      <w:bookmarkEnd w:id="79"/>
      <w:bookmarkEnd w:id="80"/>
      <w:bookmarkEnd w:id="81"/>
      <w:bookmarkEnd w:id="82"/>
      <w:bookmarkEnd w:id="83"/>
    </w:p>
    <w:p w14:paraId="0E168CAB">
      <w:pPr>
        <w:pStyle w:val="3"/>
        <w:spacing w:before="0" w:beforeLines="0" w:after="0" w:afterLines="0"/>
        <w:rPr>
          <w:rFonts w:ascii="宋体" w:hAnsi="宋体" w:eastAsia="宋体"/>
        </w:rPr>
      </w:pPr>
      <w:bookmarkStart w:id="84" w:name="_Toc194928853"/>
      <w:bookmarkStart w:id="85" w:name="_Toc188262646"/>
      <w:bookmarkStart w:id="86" w:name="_Toc198808210"/>
      <w:bookmarkStart w:id="87" w:name="_Toc200377245"/>
      <w:bookmarkStart w:id="88" w:name="_Toc194944426"/>
      <w:r>
        <w:rPr>
          <w:rFonts w:hint="eastAsia" w:ascii="宋体" w:hAnsi="宋体" w:eastAsia="宋体"/>
        </w:rPr>
        <w:t>养护技术档案应以每条道路为单位建立，应按规定的范围、内容和要求进行收集归档，包括道路的原始施工图纸，各类养护施工技术文件，日常巡查、检测资料和音像资料等。</w:t>
      </w:r>
      <w:bookmarkEnd w:id="84"/>
      <w:bookmarkEnd w:id="85"/>
      <w:bookmarkEnd w:id="86"/>
      <w:bookmarkEnd w:id="87"/>
      <w:bookmarkEnd w:id="88"/>
    </w:p>
    <w:p w14:paraId="083AB29B">
      <w:pPr>
        <w:pStyle w:val="3"/>
        <w:spacing w:before="0" w:beforeLines="0" w:after="0" w:afterLines="0"/>
        <w:rPr>
          <w:rFonts w:ascii="宋体" w:hAnsi="宋体" w:eastAsia="宋体"/>
        </w:rPr>
      </w:pPr>
      <w:bookmarkStart w:id="89" w:name="_Toc188262647"/>
      <w:bookmarkStart w:id="90" w:name="_Toc194944427"/>
      <w:bookmarkStart w:id="91" w:name="_Toc194928854"/>
      <w:bookmarkStart w:id="92" w:name="_Toc198808211"/>
      <w:bookmarkStart w:id="93" w:name="_Toc200377246"/>
      <w:r>
        <w:rPr>
          <w:rFonts w:hint="eastAsia" w:ascii="宋体" w:hAnsi="宋体" w:eastAsia="宋体"/>
        </w:rPr>
        <w:t>道路养护完工后，应对竣工资料及时归档。</w:t>
      </w:r>
      <w:bookmarkEnd w:id="89"/>
      <w:bookmarkEnd w:id="90"/>
      <w:bookmarkEnd w:id="91"/>
      <w:bookmarkEnd w:id="92"/>
      <w:bookmarkEnd w:id="93"/>
    </w:p>
    <w:p w14:paraId="1E18F346">
      <w:pPr>
        <w:pStyle w:val="3"/>
        <w:spacing w:before="0" w:beforeLines="0" w:after="0" w:afterLines="0"/>
        <w:rPr>
          <w:rFonts w:ascii="宋体" w:hAnsi="宋体" w:eastAsia="宋体"/>
        </w:rPr>
      </w:pPr>
      <w:bookmarkStart w:id="94" w:name="_Toc188262648"/>
      <w:bookmarkStart w:id="95" w:name="_Toc194928855"/>
      <w:bookmarkStart w:id="96" w:name="_Toc198808212"/>
      <w:bookmarkStart w:id="97" w:name="_Toc200377247"/>
      <w:bookmarkStart w:id="98" w:name="_Toc194944428"/>
      <w:r>
        <w:rPr>
          <w:rFonts w:hint="eastAsia" w:ascii="宋体" w:hAnsi="宋体" w:eastAsia="宋体"/>
        </w:rPr>
        <w:t>经竣工验收合格的市政设施移交养护单位时，建设单位应提供市政设施工程技术资料和工程验收、工程保修等资料。</w:t>
      </w:r>
      <w:bookmarkEnd w:id="94"/>
      <w:bookmarkEnd w:id="95"/>
      <w:bookmarkEnd w:id="96"/>
      <w:bookmarkEnd w:id="97"/>
      <w:bookmarkEnd w:id="98"/>
    </w:p>
    <w:p w14:paraId="179ED5DB">
      <w:pPr>
        <w:pStyle w:val="3"/>
        <w:spacing w:before="0" w:beforeLines="0" w:after="0" w:afterLines="0"/>
        <w:rPr>
          <w:rFonts w:ascii="宋体" w:hAnsi="宋体" w:eastAsia="宋体"/>
        </w:rPr>
      </w:pPr>
      <w:bookmarkStart w:id="99" w:name="_Toc188262649"/>
      <w:bookmarkStart w:id="100" w:name="_Toc198808213"/>
      <w:bookmarkStart w:id="101" w:name="_Toc194928856"/>
      <w:bookmarkStart w:id="102" w:name="_Toc200377248"/>
      <w:bookmarkStart w:id="103" w:name="_Toc194944429"/>
      <w:r>
        <w:rPr>
          <w:rFonts w:hint="eastAsia" w:ascii="宋体" w:hAnsi="宋体" w:eastAsia="宋体"/>
        </w:rPr>
        <w:t>城市道路养护管理单位应建立城市道路数据库，逐步实现城市道路养护信息化管理，并建立相应的数据维护制度。</w:t>
      </w:r>
      <w:bookmarkEnd w:id="99"/>
      <w:bookmarkEnd w:id="100"/>
      <w:bookmarkEnd w:id="101"/>
      <w:bookmarkEnd w:id="102"/>
      <w:bookmarkEnd w:id="103"/>
    </w:p>
    <w:p w14:paraId="41FAC1A5">
      <w:pPr>
        <w:pStyle w:val="3"/>
        <w:spacing w:before="0" w:beforeLines="0" w:after="0" w:afterLines="0"/>
        <w:rPr>
          <w:rFonts w:ascii="宋体" w:hAnsi="宋体" w:eastAsia="宋体"/>
        </w:rPr>
      </w:pPr>
      <w:bookmarkStart w:id="104" w:name="_Toc188262650"/>
      <w:bookmarkStart w:id="105" w:name="_Toc194944430"/>
      <w:bookmarkStart w:id="106" w:name="_Toc198808214"/>
      <w:bookmarkStart w:id="107" w:name="_Toc194928857"/>
      <w:bookmarkStart w:id="108" w:name="_Toc200377249"/>
      <w:r>
        <w:rPr>
          <w:rFonts w:hint="eastAsia" w:ascii="宋体" w:hAnsi="宋体" w:eastAsia="宋体"/>
        </w:rPr>
        <w:t>城市道路数据库的建立和维护应符合下列要求:</w:t>
      </w:r>
      <w:bookmarkEnd w:id="104"/>
      <w:bookmarkEnd w:id="105"/>
      <w:bookmarkEnd w:id="106"/>
      <w:bookmarkEnd w:id="107"/>
      <w:bookmarkEnd w:id="108"/>
    </w:p>
    <w:p w14:paraId="52C42A77">
      <w:pPr>
        <w:pStyle w:val="21"/>
        <w:numPr>
          <w:ilvl w:val="0"/>
          <w:numId w:val="23"/>
        </w:numPr>
        <w:ind w:left="560" w:leftChars="200" w:firstLineChars="0"/>
      </w:pPr>
      <w:r>
        <w:rPr>
          <w:rFonts w:hint="eastAsia"/>
        </w:rPr>
        <w:t>城市道路数据库应包括：道路几何数据、路面结构数据、道路检查历史数据、养护工程历史数据、路域环境信息等技术资料；</w:t>
      </w:r>
    </w:p>
    <w:p w14:paraId="37A97FEE">
      <w:pPr>
        <w:pStyle w:val="21"/>
        <w:numPr>
          <w:ilvl w:val="0"/>
          <w:numId w:val="23"/>
        </w:numPr>
        <w:ind w:left="560" w:leftChars="200" w:firstLineChars="0"/>
      </w:pPr>
      <w:r>
        <w:rPr>
          <w:rFonts w:hint="eastAsia"/>
        </w:rPr>
        <w:t>数据库信息采集应以道路竣工文件为主要依据，并应结合道路检查、养护工程实施进行；</w:t>
      </w:r>
    </w:p>
    <w:p w14:paraId="7DCA8C29">
      <w:pPr>
        <w:pStyle w:val="21"/>
        <w:numPr>
          <w:ilvl w:val="0"/>
          <w:numId w:val="23"/>
        </w:numPr>
        <w:ind w:left="560" w:leftChars="200" w:firstLineChars="0"/>
      </w:pPr>
      <w:r>
        <w:rPr>
          <w:rFonts w:hint="eastAsia"/>
        </w:rPr>
        <w:t>当道路大修或改扩建后，应及时对数据库进行更新。</w:t>
      </w:r>
    </w:p>
    <w:p w14:paraId="7910240A">
      <w:pPr>
        <w:pStyle w:val="2"/>
        <w:spacing w:before="156" w:after="156"/>
      </w:pPr>
      <w:bookmarkStart w:id="109" w:name="_Toc200377250"/>
      <w:r>
        <w:rPr>
          <w:rFonts w:hint="eastAsia"/>
        </w:rPr>
        <w:t>引用文件</w:t>
      </w:r>
      <w:bookmarkEnd w:id="109"/>
    </w:p>
    <w:p w14:paraId="20698B58">
      <w:r>
        <w:rPr>
          <w:rFonts w:hint="eastAsia"/>
        </w:rPr>
        <w:t xml:space="preserve">检查井盖 </w:t>
      </w:r>
      <w:r>
        <w:t xml:space="preserve"> GB/T 23858</w:t>
      </w:r>
    </w:p>
    <w:p w14:paraId="12425DC7">
      <w:r>
        <w:rPr>
          <w:rFonts w:hint="eastAsia"/>
        </w:rPr>
        <w:t xml:space="preserve">无障碍设施施工验收及维护规范 </w:t>
      </w:r>
      <w:r>
        <w:t xml:space="preserve"> GB 50642</w:t>
      </w:r>
    </w:p>
    <w:p w14:paraId="1D25C604">
      <w:r>
        <w:rPr>
          <w:rFonts w:hint="eastAsia"/>
        </w:rPr>
        <w:t xml:space="preserve">无障碍设计规范 </w:t>
      </w:r>
      <w:r>
        <w:t xml:space="preserve"> GB 50763</w:t>
      </w:r>
    </w:p>
    <w:p w14:paraId="7D7D314E">
      <w:r>
        <w:rPr>
          <w:rFonts w:hint="eastAsia"/>
        </w:rPr>
        <w:t xml:space="preserve">城镇道路养护技术规范 </w:t>
      </w:r>
      <w:r>
        <w:t xml:space="preserve"> CJJ 36</w:t>
      </w:r>
    </w:p>
    <w:p w14:paraId="11DC7412">
      <w:bookmarkStart w:id="110" w:name="_Hlk194943809"/>
      <w:r>
        <w:rPr>
          <w:rFonts w:hint="eastAsia"/>
        </w:rPr>
        <w:t xml:space="preserve">城镇道路路面设计规范 </w:t>
      </w:r>
      <w:r>
        <w:t xml:space="preserve"> </w:t>
      </w:r>
      <w:r>
        <w:rPr>
          <w:rFonts w:hint="eastAsia"/>
        </w:rPr>
        <w:t>CJJ 169</w:t>
      </w:r>
    </w:p>
    <w:p w14:paraId="3A0D1ED8">
      <w:r>
        <w:rPr>
          <w:rFonts w:hint="eastAsia"/>
        </w:rPr>
        <w:t xml:space="preserve">道路交通标志和标线 </w:t>
      </w:r>
      <w:r>
        <w:t xml:space="preserve"> GA 5768</w:t>
      </w:r>
      <w:r>
        <w:rPr>
          <w:rFonts w:hint="eastAsia"/>
        </w:rPr>
        <w:t>（所有部分）</w:t>
      </w:r>
    </w:p>
    <w:bookmarkEnd w:id="110"/>
    <w:p w14:paraId="4ED051EB">
      <w:r>
        <w:rPr>
          <w:rFonts w:hint="eastAsia"/>
        </w:rPr>
        <w:t xml:space="preserve">城市道路施工作业交通组织规范 </w:t>
      </w:r>
      <w:r>
        <w:t xml:space="preserve"> GA/T 900</w:t>
      </w:r>
    </w:p>
    <w:p w14:paraId="3E952A30">
      <w:bookmarkStart w:id="111" w:name="OLE_LINK2"/>
      <w:r>
        <w:rPr>
          <w:rFonts w:hint="eastAsia"/>
        </w:rPr>
        <w:t xml:space="preserve">城镇道路路面检测评价技术标准 </w:t>
      </w:r>
      <w:r>
        <w:t xml:space="preserve"> DB42/T 2181</w:t>
      </w:r>
    </w:p>
    <w:bookmarkEnd w:id="111"/>
    <w:p w14:paraId="1EFB7026">
      <w:r>
        <w:rPr>
          <w:rFonts w:hint="eastAsia"/>
        </w:rPr>
        <w:t xml:space="preserve">城市道路挖掘与修复管理规范 </w:t>
      </w:r>
      <w:r>
        <w:t xml:space="preserve"> DB4202/T 38</w:t>
      </w:r>
    </w:p>
    <w:p w14:paraId="038ADF9B">
      <w:pPr>
        <w:pStyle w:val="2"/>
        <w:spacing w:before="156" w:after="156"/>
      </w:pPr>
      <w:bookmarkStart w:id="112" w:name="_Toc200377251"/>
      <w:r>
        <w:rPr>
          <w:rFonts w:hint="eastAsia"/>
        </w:rPr>
        <w:t>参考文献</w:t>
      </w:r>
      <w:bookmarkEnd w:id="112"/>
    </w:p>
    <w:p w14:paraId="07DD3743">
      <w:pPr>
        <w:rPr>
          <w:rFonts w:ascii="宋体" w:hAnsi="宋体"/>
        </w:rPr>
      </w:pPr>
      <w:r>
        <w:rPr>
          <w:rFonts w:hint="eastAsia" w:ascii="宋体" w:hAnsi="宋体"/>
        </w:rPr>
        <w:t>城市道路交通工程项目规范  GB 55011</w:t>
      </w:r>
      <w:r>
        <w:rPr>
          <w:rFonts w:ascii="宋体" w:hAnsi="宋体"/>
        </w:rPr>
        <w:t>-2021</w:t>
      </w:r>
    </w:p>
    <w:p w14:paraId="717675F4">
      <w:pPr>
        <w:rPr>
          <w:rFonts w:ascii="宋体" w:hAnsi="宋体"/>
        </w:rPr>
      </w:pPr>
      <w:r>
        <w:rPr>
          <w:rFonts w:hint="eastAsia" w:ascii="宋体" w:hAnsi="宋体"/>
        </w:rPr>
        <w:t>城镇道路工程施工与质量验收规范  CJJ 1</w:t>
      </w:r>
      <w:r>
        <w:rPr>
          <w:rFonts w:ascii="宋体" w:hAnsi="宋体"/>
        </w:rPr>
        <w:t>-2008</w:t>
      </w:r>
    </w:p>
    <w:p w14:paraId="7832D40A">
      <w:pPr>
        <w:rPr>
          <w:rFonts w:ascii="宋体" w:hAnsi="宋体"/>
        </w:rPr>
      </w:pPr>
      <w:r>
        <w:rPr>
          <w:rFonts w:ascii="宋体" w:hAnsi="宋体"/>
        </w:rPr>
        <w:t>城市道路工程设计规范  CJJ 37—2012</w:t>
      </w:r>
    </w:p>
    <w:p w14:paraId="7622F666">
      <w:pPr>
        <w:rPr>
          <w:rFonts w:ascii="宋体" w:hAnsi="宋体"/>
        </w:rPr>
      </w:pPr>
      <w:r>
        <w:rPr>
          <w:rFonts w:ascii="宋体" w:hAnsi="宋体"/>
        </w:rPr>
        <w:t>城市道路路基设计规范  CJJ 194—2013</w:t>
      </w:r>
    </w:p>
    <w:p w14:paraId="48A9A915">
      <w:pPr>
        <w:rPr>
          <w:rFonts w:ascii="宋体" w:hAnsi="宋体"/>
        </w:rPr>
      </w:pPr>
      <w:r>
        <w:rPr>
          <w:rFonts w:ascii="宋体" w:hAnsi="宋体"/>
        </w:rPr>
        <w:t>公路沥青路面养护技术规范  JTG 5142—2019</w:t>
      </w:r>
    </w:p>
    <w:p w14:paraId="030BB7E5">
      <w:pPr>
        <w:rPr>
          <w:rFonts w:ascii="宋体" w:hAnsi="宋体"/>
        </w:rPr>
      </w:pPr>
      <w:r>
        <w:rPr>
          <w:rFonts w:ascii="宋体" w:hAnsi="宋体"/>
        </w:rPr>
        <w:t>公路技术状况评定标准  JTG 5210—2018</w:t>
      </w:r>
    </w:p>
    <w:p w14:paraId="1338B0D1">
      <w:pPr>
        <w:rPr>
          <w:rFonts w:ascii="宋体" w:hAnsi="宋体"/>
        </w:rPr>
      </w:pPr>
      <w:r>
        <w:rPr>
          <w:rFonts w:ascii="宋体" w:hAnsi="宋体"/>
        </w:rPr>
        <w:t>公路水泥混凝土路面养护技术规范  JTJ 073.1—2001</w:t>
      </w:r>
    </w:p>
    <w:p w14:paraId="6C38EF79">
      <w:pPr>
        <w:rPr>
          <w:rFonts w:ascii="宋体" w:hAnsi="宋体"/>
        </w:rPr>
      </w:pPr>
      <w:r>
        <w:rPr>
          <w:rFonts w:ascii="宋体" w:hAnsi="宋体"/>
        </w:rPr>
        <w:t>水泥混凝土路面施工技术细则  JTG/T F30—2014</w:t>
      </w:r>
    </w:p>
    <w:p w14:paraId="6AFDAC9D">
      <w:pPr>
        <w:rPr>
          <w:rFonts w:ascii="宋体" w:hAnsi="宋体"/>
        </w:rPr>
      </w:pPr>
      <w:r>
        <w:rPr>
          <w:rFonts w:ascii="宋体" w:hAnsi="宋体"/>
        </w:rPr>
        <w:t>公路沥青路面施工技术规范  JTG F40—2004</w:t>
      </w:r>
    </w:p>
    <w:p w14:paraId="3F83A069"/>
    <w:p w14:paraId="2B73403A">
      <w:pPr>
        <w:sectPr>
          <w:footerReference r:id="rId4" w:type="default"/>
          <w:pgSz w:w="11906" w:h="16838"/>
          <w:pgMar w:top="1440" w:right="1800" w:bottom="1440" w:left="1800" w:header="851" w:footer="992" w:gutter="0"/>
          <w:pgNumType w:start="1"/>
          <w:cols w:space="425" w:num="1"/>
          <w:docGrid w:type="lines" w:linePitch="312" w:charSpace="0"/>
        </w:sectPr>
      </w:pPr>
    </w:p>
    <w:p w14:paraId="3F9AF097">
      <w:pPr>
        <w:pStyle w:val="2"/>
        <w:numPr>
          <w:ilvl w:val="0"/>
          <w:numId w:val="0"/>
        </w:numPr>
        <w:spacing w:before="190" w:after="190"/>
        <w:rPr>
          <w:rFonts w:ascii="黑体" w:hAnsi="黑体" w:cs="宋体"/>
          <w:sz w:val="24"/>
          <w:szCs w:val="24"/>
        </w:rPr>
      </w:pPr>
      <w:bookmarkStart w:id="113" w:name="_Toc200377252"/>
      <w:r>
        <w:rPr>
          <w:rFonts w:hint="eastAsia"/>
        </w:rPr>
        <w:t>附录</w:t>
      </w:r>
      <w:r>
        <w:t>A</w:t>
      </w:r>
      <w:r>
        <w:rPr>
          <w:rFonts w:hint="eastAsia"/>
        </w:rPr>
        <w:t>：城市道路日常巡查表</w:t>
      </w:r>
      <w:bookmarkEnd w:id="113"/>
    </w:p>
    <w:tbl>
      <w:tblPr>
        <w:tblStyle w:val="13"/>
        <w:tblW w:w="5000" w:type="pct"/>
        <w:tblInd w:w="0" w:type="dxa"/>
        <w:tblLayout w:type="autofit"/>
        <w:tblCellMar>
          <w:top w:w="0" w:type="dxa"/>
          <w:left w:w="108" w:type="dxa"/>
          <w:bottom w:w="0" w:type="dxa"/>
          <w:right w:w="108" w:type="dxa"/>
        </w:tblCellMar>
      </w:tblPr>
      <w:tblGrid>
        <w:gridCol w:w="2874"/>
        <w:gridCol w:w="1451"/>
        <w:gridCol w:w="2588"/>
        <w:gridCol w:w="2724"/>
        <w:gridCol w:w="2540"/>
        <w:gridCol w:w="1997"/>
      </w:tblGrid>
      <w:tr w14:paraId="30EBB67D">
        <w:tblPrEx>
          <w:tblCellMar>
            <w:top w:w="0" w:type="dxa"/>
            <w:left w:w="108" w:type="dxa"/>
            <w:bottom w:w="0" w:type="dxa"/>
            <w:right w:w="108" w:type="dxa"/>
          </w:tblCellMar>
        </w:tblPrEx>
        <w:trPr>
          <w:trHeight w:val="567" w:hRule="atLeast"/>
        </w:trPr>
        <w:tc>
          <w:tcPr>
            <w:tcW w:w="1014" w:type="pct"/>
            <w:tcBorders>
              <w:top w:val="single" w:color="auto" w:sz="4" w:space="0"/>
              <w:left w:val="single" w:color="auto" w:sz="4" w:space="0"/>
              <w:bottom w:val="single" w:color="auto" w:sz="4" w:space="0"/>
              <w:right w:val="single" w:color="auto" w:sz="4" w:space="0"/>
            </w:tcBorders>
            <w:noWrap/>
            <w:vAlign w:val="center"/>
          </w:tcPr>
          <w:p w14:paraId="2A9F6EAD">
            <w:pPr>
              <w:widowControl/>
              <w:jc w:val="center"/>
              <w:rPr>
                <w:rFonts w:ascii="宋体" w:hAnsi="宋体" w:cs="宋体"/>
                <w:kern w:val="0"/>
                <w:sz w:val="24"/>
                <w:szCs w:val="24"/>
              </w:rPr>
            </w:pPr>
            <w:r>
              <w:rPr>
                <w:rFonts w:hint="eastAsia" w:ascii="宋体" w:hAnsi="宋体" w:cs="宋体"/>
                <w:kern w:val="0"/>
                <w:sz w:val="24"/>
                <w:szCs w:val="24"/>
              </w:rPr>
              <w:t>道路名称（编号）</w:t>
            </w:r>
          </w:p>
        </w:tc>
        <w:tc>
          <w:tcPr>
            <w:tcW w:w="1425" w:type="pct"/>
            <w:gridSpan w:val="2"/>
            <w:tcBorders>
              <w:top w:val="single" w:color="auto" w:sz="4" w:space="0"/>
              <w:left w:val="nil"/>
              <w:bottom w:val="single" w:color="auto" w:sz="4" w:space="0"/>
              <w:right w:val="single" w:color="auto" w:sz="4" w:space="0"/>
            </w:tcBorders>
            <w:noWrap/>
            <w:vAlign w:val="center"/>
          </w:tcPr>
          <w:p w14:paraId="3EA542D3">
            <w:pPr>
              <w:widowControl/>
              <w:jc w:val="center"/>
              <w:rPr>
                <w:rFonts w:ascii="宋体" w:hAnsi="宋体" w:cs="宋体"/>
                <w:kern w:val="0"/>
                <w:sz w:val="24"/>
                <w:szCs w:val="24"/>
              </w:rPr>
            </w:pPr>
          </w:p>
        </w:tc>
        <w:tc>
          <w:tcPr>
            <w:tcW w:w="961" w:type="pct"/>
            <w:tcBorders>
              <w:top w:val="single" w:color="auto" w:sz="4" w:space="0"/>
              <w:left w:val="nil"/>
              <w:bottom w:val="single" w:color="auto" w:sz="4" w:space="0"/>
              <w:right w:val="single" w:color="auto" w:sz="4" w:space="0"/>
            </w:tcBorders>
            <w:noWrap/>
            <w:vAlign w:val="center"/>
          </w:tcPr>
          <w:p w14:paraId="54BB6A32">
            <w:pPr>
              <w:widowControl/>
              <w:jc w:val="center"/>
              <w:rPr>
                <w:rFonts w:ascii="宋体" w:hAnsi="宋体" w:cs="宋体"/>
                <w:kern w:val="0"/>
                <w:sz w:val="24"/>
                <w:szCs w:val="24"/>
              </w:rPr>
            </w:pPr>
            <w:r>
              <w:rPr>
                <w:rFonts w:hint="eastAsia" w:ascii="宋体" w:hAnsi="宋体" w:cs="宋体"/>
                <w:kern w:val="0"/>
                <w:sz w:val="24"/>
                <w:szCs w:val="24"/>
              </w:rPr>
              <w:t>巡查单位</w:t>
            </w:r>
          </w:p>
        </w:tc>
        <w:tc>
          <w:tcPr>
            <w:tcW w:w="1600" w:type="pct"/>
            <w:gridSpan w:val="2"/>
            <w:tcBorders>
              <w:top w:val="single" w:color="auto" w:sz="4" w:space="0"/>
              <w:left w:val="nil"/>
              <w:bottom w:val="single" w:color="auto" w:sz="4" w:space="0"/>
              <w:right w:val="single" w:color="000000" w:sz="4" w:space="0"/>
            </w:tcBorders>
            <w:noWrap/>
            <w:vAlign w:val="center"/>
          </w:tcPr>
          <w:p w14:paraId="56B8818F">
            <w:pPr>
              <w:widowControl/>
              <w:jc w:val="center"/>
              <w:rPr>
                <w:rFonts w:ascii="宋体" w:hAnsi="宋体" w:cs="宋体"/>
                <w:kern w:val="0"/>
                <w:sz w:val="24"/>
                <w:szCs w:val="24"/>
              </w:rPr>
            </w:pPr>
          </w:p>
        </w:tc>
      </w:tr>
      <w:tr w14:paraId="1EF74B70">
        <w:tblPrEx>
          <w:tblCellMar>
            <w:top w:w="0" w:type="dxa"/>
            <w:left w:w="108" w:type="dxa"/>
            <w:bottom w:w="0" w:type="dxa"/>
            <w:right w:w="108" w:type="dxa"/>
          </w:tblCellMar>
        </w:tblPrEx>
        <w:trPr>
          <w:trHeight w:val="567" w:hRule="atLeast"/>
        </w:trPr>
        <w:tc>
          <w:tcPr>
            <w:tcW w:w="1014" w:type="pct"/>
            <w:tcBorders>
              <w:top w:val="nil"/>
              <w:left w:val="single" w:color="auto" w:sz="4" w:space="0"/>
              <w:bottom w:val="single" w:color="auto" w:sz="4" w:space="0"/>
              <w:right w:val="single" w:color="auto" w:sz="4" w:space="0"/>
            </w:tcBorders>
            <w:noWrap/>
            <w:vAlign w:val="center"/>
          </w:tcPr>
          <w:p w14:paraId="533B3C0E">
            <w:pPr>
              <w:widowControl/>
              <w:jc w:val="center"/>
              <w:rPr>
                <w:rFonts w:ascii="宋体" w:hAnsi="宋体" w:cs="宋体"/>
                <w:kern w:val="0"/>
                <w:sz w:val="24"/>
                <w:szCs w:val="24"/>
              </w:rPr>
            </w:pPr>
            <w:r>
              <w:rPr>
                <w:rFonts w:hint="eastAsia" w:ascii="宋体" w:hAnsi="宋体" w:cs="宋体"/>
                <w:kern w:val="0"/>
                <w:sz w:val="24"/>
                <w:szCs w:val="24"/>
              </w:rPr>
              <w:t>检查项</w:t>
            </w:r>
          </w:p>
        </w:tc>
        <w:tc>
          <w:tcPr>
            <w:tcW w:w="512" w:type="pct"/>
            <w:tcBorders>
              <w:top w:val="nil"/>
              <w:left w:val="nil"/>
              <w:bottom w:val="single" w:color="auto" w:sz="4" w:space="0"/>
              <w:right w:val="single" w:color="auto" w:sz="4" w:space="0"/>
            </w:tcBorders>
            <w:noWrap/>
            <w:vAlign w:val="center"/>
          </w:tcPr>
          <w:p w14:paraId="42149244">
            <w:pPr>
              <w:widowControl/>
              <w:jc w:val="center"/>
              <w:rPr>
                <w:rFonts w:ascii="宋体" w:hAnsi="宋体" w:cs="宋体"/>
                <w:kern w:val="0"/>
                <w:sz w:val="24"/>
                <w:szCs w:val="24"/>
              </w:rPr>
            </w:pPr>
            <w:r>
              <w:rPr>
                <w:rFonts w:hint="eastAsia" w:ascii="宋体" w:hAnsi="宋体" w:cs="宋体"/>
                <w:kern w:val="0"/>
                <w:sz w:val="24"/>
                <w:szCs w:val="24"/>
              </w:rPr>
              <w:t>完好</w:t>
            </w:r>
          </w:p>
        </w:tc>
        <w:tc>
          <w:tcPr>
            <w:tcW w:w="913" w:type="pct"/>
            <w:tcBorders>
              <w:top w:val="nil"/>
              <w:left w:val="nil"/>
              <w:bottom w:val="single" w:color="auto" w:sz="4" w:space="0"/>
              <w:right w:val="single" w:color="auto" w:sz="4" w:space="0"/>
            </w:tcBorders>
            <w:noWrap/>
            <w:vAlign w:val="center"/>
          </w:tcPr>
          <w:p w14:paraId="7C564946">
            <w:pPr>
              <w:widowControl/>
              <w:jc w:val="center"/>
              <w:rPr>
                <w:rFonts w:ascii="宋体" w:hAnsi="宋体" w:cs="宋体"/>
                <w:kern w:val="0"/>
                <w:sz w:val="24"/>
                <w:szCs w:val="24"/>
              </w:rPr>
            </w:pPr>
            <w:r>
              <w:rPr>
                <w:rFonts w:hint="eastAsia" w:ascii="宋体" w:hAnsi="宋体" w:cs="宋体"/>
                <w:kern w:val="0"/>
                <w:sz w:val="24"/>
                <w:szCs w:val="24"/>
              </w:rPr>
              <w:t>损坏类型</w:t>
            </w:r>
          </w:p>
        </w:tc>
        <w:tc>
          <w:tcPr>
            <w:tcW w:w="961" w:type="pct"/>
            <w:tcBorders>
              <w:top w:val="nil"/>
              <w:left w:val="nil"/>
              <w:bottom w:val="single" w:color="auto" w:sz="4" w:space="0"/>
              <w:right w:val="single" w:color="auto" w:sz="4" w:space="0"/>
            </w:tcBorders>
            <w:noWrap/>
            <w:vAlign w:val="center"/>
          </w:tcPr>
          <w:p w14:paraId="7F986CCC">
            <w:pPr>
              <w:widowControl/>
              <w:jc w:val="center"/>
              <w:rPr>
                <w:rFonts w:ascii="宋体" w:hAnsi="宋体" w:cs="宋体"/>
                <w:kern w:val="0"/>
                <w:sz w:val="24"/>
                <w:szCs w:val="24"/>
              </w:rPr>
            </w:pPr>
            <w:r>
              <w:rPr>
                <w:rFonts w:hint="eastAsia" w:ascii="宋体" w:hAnsi="宋体" w:cs="宋体"/>
                <w:kern w:val="0"/>
                <w:sz w:val="24"/>
                <w:szCs w:val="24"/>
              </w:rPr>
              <w:t>损坏程度（数量）</w:t>
            </w:r>
          </w:p>
        </w:tc>
        <w:tc>
          <w:tcPr>
            <w:tcW w:w="896" w:type="pct"/>
            <w:tcBorders>
              <w:top w:val="nil"/>
              <w:left w:val="nil"/>
              <w:bottom w:val="single" w:color="auto" w:sz="4" w:space="0"/>
              <w:right w:val="single" w:color="auto" w:sz="4" w:space="0"/>
            </w:tcBorders>
            <w:noWrap/>
            <w:vAlign w:val="center"/>
          </w:tcPr>
          <w:p w14:paraId="009AEB28">
            <w:pPr>
              <w:widowControl/>
              <w:jc w:val="center"/>
              <w:rPr>
                <w:rFonts w:ascii="宋体" w:hAnsi="宋体" w:cs="宋体"/>
                <w:kern w:val="0"/>
                <w:sz w:val="24"/>
                <w:szCs w:val="24"/>
              </w:rPr>
            </w:pPr>
            <w:r>
              <w:rPr>
                <w:rFonts w:hint="eastAsia" w:ascii="宋体" w:hAnsi="宋体" w:cs="宋体"/>
                <w:kern w:val="0"/>
                <w:sz w:val="24"/>
                <w:szCs w:val="24"/>
              </w:rPr>
              <w:t>损坏位置</w:t>
            </w:r>
          </w:p>
        </w:tc>
        <w:tc>
          <w:tcPr>
            <w:tcW w:w="704" w:type="pct"/>
            <w:tcBorders>
              <w:top w:val="nil"/>
              <w:left w:val="nil"/>
              <w:bottom w:val="single" w:color="auto" w:sz="4" w:space="0"/>
              <w:right w:val="single" w:color="auto" w:sz="4" w:space="0"/>
            </w:tcBorders>
            <w:noWrap/>
            <w:vAlign w:val="center"/>
          </w:tcPr>
          <w:p w14:paraId="390414F6">
            <w:pPr>
              <w:widowControl/>
              <w:jc w:val="center"/>
              <w:rPr>
                <w:rFonts w:ascii="宋体" w:hAnsi="宋体" w:cs="宋体"/>
                <w:kern w:val="0"/>
                <w:sz w:val="24"/>
                <w:szCs w:val="24"/>
              </w:rPr>
            </w:pPr>
            <w:r>
              <w:rPr>
                <w:rFonts w:hint="eastAsia" w:ascii="宋体" w:hAnsi="宋体" w:cs="宋体"/>
                <w:kern w:val="0"/>
                <w:sz w:val="24"/>
                <w:szCs w:val="24"/>
              </w:rPr>
              <w:t>备注</w:t>
            </w:r>
          </w:p>
        </w:tc>
      </w:tr>
      <w:tr w14:paraId="41CD2E77">
        <w:tblPrEx>
          <w:tblCellMar>
            <w:top w:w="0" w:type="dxa"/>
            <w:left w:w="108" w:type="dxa"/>
            <w:bottom w:w="0" w:type="dxa"/>
            <w:right w:w="108" w:type="dxa"/>
          </w:tblCellMar>
        </w:tblPrEx>
        <w:trPr>
          <w:trHeight w:val="567" w:hRule="atLeast"/>
        </w:trPr>
        <w:tc>
          <w:tcPr>
            <w:tcW w:w="1014" w:type="pct"/>
            <w:tcBorders>
              <w:top w:val="nil"/>
              <w:left w:val="single" w:color="auto" w:sz="4" w:space="0"/>
              <w:bottom w:val="single" w:color="auto" w:sz="4" w:space="0"/>
              <w:right w:val="single" w:color="auto" w:sz="4" w:space="0"/>
            </w:tcBorders>
            <w:noWrap/>
            <w:vAlign w:val="center"/>
          </w:tcPr>
          <w:p w14:paraId="4B755B29">
            <w:pPr>
              <w:widowControl/>
              <w:jc w:val="center"/>
              <w:rPr>
                <w:rFonts w:ascii="宋体" w:hAnsi="宋体" w:cs="宋体"/>
                <w:kern w:val="0"/>
                <w:sz w:val="24"/>
                <w:szCs w:val="24"/>
              </w:rPr>
            </w:pPr>
            <w:r>
              <w:rPr>
                <w:rFonts w:hint="eastAsia" w:ascii="宋体" w:hAnsi="宋体" w:cs="宋体"/>
                <w:kern w:val="0"/>
                <w:sz w:val="24"/>
                <w:szCs w:val="24"/>
              </w:rPr>
              <w:t>车行道路面</w:t>
            </w:r>
          </w:p>
        </w:tc>
        <w:tc>
          <w:tcPr>
            <w:tcW w:w="512" w:type="pct"/>
            <w:tcBorders>
              <w:top w:val="nil"/>
              <w:left w:val="nil"/>
              <w:bottom w:val="single" w:color="auto" w:sz="4" w:space="0"/>
              <w:right w:val="single" w:color="auto" w:sz="4" w:space="0"/>
            </w:tcBorders>
            <w:noWrap/>
            <w:vAlign w:val="center"/>
          </w:tcPr>
          <w:p w14:paraId="6D50CD15">
            <w:pPr>
              <w:widowControl/>
              <w:jc w:val="center"/>
              <w:rPr>
                <w:rFonts w:ascii="宋体" w:hAnsi="宋体" w:cs="宋体"/>
                <w:kern w:val="0"/>
                <w:sz w:val="24"/>
                <w:szCs w:val="24"/>
              </w:rPr>
            </w:pPr>
            <w:r>
              <w:rPr>
                <w:rFonts w:hint="eastAsia" w:ascii="宋体" w:hAnsi="宋体" w:cs="宋体"/>
                <w:kern w:val="0"/>
                <w:sz w:val="24"/>
                <w:szCs w:val="24"/>
              </w:rPr>
              <w:t>□是□否</w:t>
            </w:r>
          </w:p>
        </w:tc>
        <w:tc>
          <w:tcPr>
            <w:tcW w:w="913" w:type="pct"/>
            <w:tcBorders>
              <w:top w:val="nil"/>
              <w:left w:val="nil"/>
              <w:bottom w:val="single" w:color="auto" w:sz="4" w:space="0"/>
              <w:right w:val="single" w:color="auto" w:sz="4" w:space="0"/>
            </w:tcBorders>
            <w:noWrap/>
            <w:vAlign w:val="center"/>
          </w:tcPr>
          <w:p w14:paraId="7320DBF6">
            <w:pPr>
              <w:widowControl/>
              <w:jc w:val="center"/>
              <w:rPr>
                <w:rFonts w:ascii="宋体" w:hAnsi="宋体" w:cs="宋体"/>
                <w:kern w:val="0"/>
                <w:sz w:val="24"/>
                <w:szCs w:val="24"/>
              </w:rPr>
            </w:pPr>
          </w:p>
        </w:tc>
        <w:tc>
          <w:tcPr>
            <w:tcW w:w="961" w:type="pct"/>
            <w:tcBorders>
              <w:top w:val="nil"/>
              <w:left w:val="nil"/>
              <w:bottom w:val="single" w:color="auto" w:sz="4" w:space="0"/>
              <w:right w:val="single" w:color="auto" w:sz="4" w:space="0"/>
            </w:tcBorders>
            <w:noWrap/>
            <w:vAlign w:val="center"/>
          </w:tcPr>
          <w:p w14:paraId="54FA69CA">
            <w:pPr>
              <w:widowControl/>
              <w:jc w:val="center"/>
              <w:rPr>
                <w:rFonts w:ascii="宋体" w:hAnsi="宋体" w:cs="宋体"/>
                <w:kern w:val="0"/>
                <w:sz w:val="24"/>
                <w:szCs w:val="24"/>
              </w:rPr>
            </w:pPr>
          </w:p>
        </w:tc>
        <w:tc>
          <w:tcPr>
            <w:tcW w:w="896" w:type="pct"/>
            <w:tcBorders>
              <w:top w:val="nil"/>
              <w:left w:val="nil"/>
              <w:bottom w:val="single" w:color="auto" w:sz="4" w:space="0"/>
              <w:right w:val="single" w:color="auto" w:sz="4" w:space="0"/>
            </w:tcBorders>
            <w:noWrap/>
            <w:vAlign w:val="center"/>
          </w:tcPr>
          <w:p w14:paraId="4363ACCE">
            <w:pPr>
              <w:widowControl/>
              <w:jc w:val="center"/>
              <w:rPr>
                <w:rFonts w:ascii="宋体" w:hAnsi="宋体" w:cs="宋体"/>
                <w:kern w:val="0"/>
                <w:sz w:val="24"/>
                <w:szCs w:val="24"/>
              </w:rPr>
            </w:pPr>
          </w:p>
        </w:tc>
        <w:tc>
          <w:tcPr>
            <w:tcW w:w="704" w:type="pct"/>
            <w:tcBorders>
              <w:top w:val="nil"/>
              <w:left w:val="nil"/>
              <w:bottom w:val="single" w:color="auto" w:sz="4" w:space="0"/>
              <w:right w:val="single" w:color="auto" w:sz="4" w:space="0"/>
            </w:tcBorders>
            <w:noWrap/>
            <w:vAlign w:val="center"/>
          </w:tcPr>
          <w:p w14:paraId="0AEF8B27">
            <w:pPr>
              <w:widowControl/>
              <w:jc w:val="center"/>
              <w:rPr>
                <w:rFonts w:ascii="宋体" w:hAnsi="宋体" w:cs="宋体"/>
                <w:kern w:val="0"/>
                <w:sz w:val="24"/>
                <w:szCs w:val="24"/>
              </w:rPr>
            </w:pPr>
          </w:p>
        </w:tc>
      </w:tr>
      <w:tr w14:paraId="657A6B90">
        <w:tblPrEx>
          <w:tblCellMar>
            <w:top w:w="0" w:type="dxa"/>
            <w:left w:w="108" w:type="dxa"/>
            <w:bottom w:w="0" w:type="dxa"/>
            <w:right w:w="108" w:type="dxa"/>
          </w:tblCellMar>
        </w:tblPrEx>
        <w:trPr>
          <w:trHeight w:val="567" w:hRule="atLeast"/>
        </w:trPr>
        <w:tc>
          <w:tcPr>
            <w:tcW w:w="1014" w:type="pct"/>
            <w:tcBorders>
              <w:top w:val="nil"/>
              <w:left w:val="single" w:color="auto" w:sz="4" w:space="0"/>
              <w:bottom w:val="single" w:color="auto" w:sz="4" w:space="0"/>
              <w:right w:val="single" w:color="auto" w:sz="4" w:space="0"/>
            </w:tcBorders>
            <w:noWrap/>
            <w:vAlign w:val="center"/>
          </w:tcPr>
          <w:p w14:paraId="132F639E">
            <w:pPr>
              <w:widowControl/>
              <w:jc w:val="center"/>
              <w:rPr>
                <w:rFonts w:ascii="宋体" w:hAnsi="宋体" w:cs="宋体"/>
                <w:kern w:val="0"/>
                <w:sz w:val="24"/>
                <w:szCs w:val="24"/>
              </w:rPr>
            </w:pPr>
            <w:r>
              <w:rPr>
                <w:rFonts w:hint="eastAsia" w:ascii="宋体" w:hAnsi="宋体" w:cs="宋体"/>
                <w:kern w:val="0"/>
                <w:sz w:val="24"/>
                <w:szCs w:val="24"/>
              </w:rPr>
              <w:t>人行道路面</w:t>
            </w:r>
          </w:p>
        </w:tc>
        <w:tc>
          <w:tcPr>
            <w:tcW w:w="512" w:type="pct"/>
            <w:tcBorders>
              <w:top w:val="nil"/>
              <w:left w:val="nil"/>
              <w:bottom w:val="single" w:color="auto" w:sz="4" w:space="0"/>
              <w:right w:val="single" w:color="auto" w:sz="4" w:space="0"/>
            </w:tcBorders>
            <w:noWrap/>
            <w:vAlign w:val="center"/>
          </w:tcPr>
          <w:p w14:paraId="151FE09F">
            <w:pPr>
              <w:widowControl/>
              <w:jc w:val="center"/>
              <w:rPr>
                <w:rFonts w:ascii="宋体" w:hAnsi="宋体" w:cs="宋体"/>
                <w:kern w:val="0"/>
                <w:sz w:val="24"/>
                <w:szCs w:val="24"/>
              </w:rPr>
            </w:pPr>
            <w:r>
              <w:rPr>
                <w:rFonts w:hint="eastAsia" w:ascii="宋体" w:hAnsi="宋体" w:cs="宋体"/>
                <w:kern w:val="0"/>
                <w:sz w:val="24"/>
                <w:szCs w:val="24"/>
              </w:rPr>
              <w:t>□是□否</w:t>
            </w:r>
          </w:p>
        </w:tc>
        <w:tc>
          <w:tcPr>
            <w:tcW w:w="913" w:type="pct"/>
            <w:tcBorders>
              <w:top w:val="nil"/>
              <w:left w:val="nil"/>
              <w:bottom w:val="single" w:color="auto" w:sz="4" w:space="0"/>
              <w:right w:val="single" w:color="auto" w:sz="4" w:space="0"/>
            </w:tcBorders>
            <w:noWrap/>
            <w:vAlign w:val="center"/>
          </w:tcPr>
          <w:p w14:paraId="0B86A547">
            <w:pPr>
              <w:widowControl/>
              <w:jc w:val="center"/>
              <w:rPr>
                <w:rFonts w:ascii="宋体" w:hAnsi="宋体" w:cs="宋体"/>
                <w:kern w:val="0"/>
                <w:sz w:val="24"/>
                <w:szCs w:val="24"/>
              </w:rPr>
            </w:pPr>
          </w:p>
        </w:tc>
        <w:tc>
          <w:tcPr>
            <w:tcW w:w="961" w:type="pct"/>
            <w:tcBorders>
              <w:top w:val="nil"/>
              <w:left w:val="nil"/>
              <w:bottom w:val="single" w:color="auto" w:sz="4" w:space="0"/>
              <w:right w:val="single" w:color="auto" w:sz="4" w:space="0"/>
            </w:tcBorders>
            <w:noWrap/>
            <w:vAlign w:val="center"/>
          </w:tcPr>
          <w:p w14:paraId="443D770E">
            <w:pPr>
              <w:widowControl/>
              <w:jc w:val="center"/>
              <w:rPr>
                <w:rFonts w:ascii="宋体" w:hAnsi="宋体" w:cs="宋体"/>
                <w:kern w:val="0"/>
                <w:sz w:val="24"/>
                <w:szCs w:val="24"/>
              </w:rPr>
            </w:pPr>
          </w:p>
        </w:tc>
        <w:tc>
          <w:tcPr>
            <w:tcW w:w="896" w:type="pct"/>
            <w:tcBorders>
              <w:top w:val="nil"/>
              <w:left w:val="nil"/>
              <w:bottom w:val="single" w:color="auto" w:sz="4" w:space="0"/>
              <w:right w:val="single" w:color="auto" w:sz="4" w:space="0"/>
            </w:tcBorders>
            <w:noWrap/>
            <w:vAlign w:val="center"/>
          </w:tcPr>
          <w:p w14:paraId="2890FA97">
            <w:pPr>
              <w:widowControl/>
              <w:jc w:val="center"/>
              <w:rPr>
                <w:rFonts w:ascii="宋体" w:hAnsi="宋体" w:cs="宋体"/>
                <w:kern w:val="0"/>
                <w:sz w:val="24"/>
                <w:szCs w:val="24"/>
              </w:rPr>
            </w:pPr>
          </w:p>
        </w:tc>
        <w:tc>
          <w:tcPr>
            <w:tcW w:w="704" w:type="pct"/>
            <w:tcBorders>
              <w:top w:val="nil"/>
              <w:left w:val="nil"/>
              <w:bottom w:val="single" w:color="auto" w:sz="4" w:space="0"/>
              <w:right w:val="single" w:color="auto" w:sz="4" w:space="0"/>
            </w:tcBorders>
            <w:noWrap/>
            <w:vAlign w:val="center"/>
          </w:tcPr>
          <w:p w14:paraId="48510642">
            <w:pPr>
              <w:widowControl/>
              <w:jc w:val="center"/>
              <w:rPr>
                <w:rFonts w:ascii="宋体" w:hAnsi="宋体" w:cs="宋体"/>
                <w:kern w:val="0"/>
                <w:sz w:val="24"/>
                <w:szCs w:val="24"/>
              </w:rPr>
            </w:pPr>
          </w:p>
        </w:tc>
      </w:tr>
      <w:tr w14:paraId="48DD41F3">
        <w:tblPrEx>
          <w:tblCellMar>
            <w:top w:w="0" w:type="dxa"/>
            <w:left w:w="108" w:type="dxa"/>
            <w:bottom w:w="0" w:type="dxa"/>
            <w:right w:w="108" w:type="dxa"/>
          </w:tblCellMar>
        </w:tblPrEx>
        <w:trPr>
          <w:trHeight w:val="567" w:hRule="atLeast"/>
        </w:trPr>
        <w:tc>
          <w:tcPr>
            <w:tcW w:w="1014" w:type="pct"/>
            <w:tcBorders>
              <w:top w:val="nil"/>
              <w:left w:val="single" w:color="auto" w:sz="4" w:space="0"/>
              <w:bottom w:val="single" w:color="auto" w:sz="4" w:space="0"/>
              <w:right w:val="single" w:color="auto" w:sz="4" w:space="0"/>
            </w:tcBorders>
            <w:noWrap/>
            <w:vAlign w:val="center"/>
          </w:tcPr>
          <w:p w14:paraId="40E4D339">
            <w:pPr>
              <w:widowControl/>
              <w:jc w:val="center"/>
              <w:rPr>
                <w:rFonts w:ascii="宋体" w:hAnsi="宋体" w:cs="宋体"/>
                <w:kern w:val="0"/>
                <w:sz w:val="24"/>
                <w:szCs w:val="24"/>
              </w:rPr>
            </w:pPr>
            <w:r>
              <w:rPr>
                <w:rFonts w:hint="eastAsia" w:ascii="宋体" w:hAnsi="宋体" w:cs="宋体"/>
                <w:kern w:val="0"/>
                <w:sz w:val="24"/>
                <w:szCs w:val="24"/>
              </w:rPr>
              <w:t>站卧石、隔离柱</w:t>
            </w:r>
          </w:p>
        </w:tc>
        <w:tc>
          <w:tcPr>
            <w:tcW w:w="512" w:type="pct"/>
            <w:tcBorders>
              <w:top w:val="nil"/>
              <w:left w:val="nil"/>
              <w:bottom w:val="single" w:color="auto" w:sz="4" w:space="0"/>
              <w:right w:val="single" w:color="auto" w:sz="4" w:space="0"/>
            </w:tcBorders>
            <w:noWrap/>
            <w:vAlign w:val="center"/>
          </w:tcPr>
          <w:p w14:paraId="6E5BE03D">
            <w:pPr>
              <w:widowControl/>
              <w:jc w:val="center"/>
              <w:rPr>
                <w:rFonts w:ascii="宋体" w:hAnsi="宋体" w:cs="宋体"/>
                <w:kern w:val="0"/>
                <w:sz w:val="24"/>
                <w:szCs w:val="24"/>
              </w:rPr>
            </w:pPr>
            <w:r>
              <w:rPr>
                <w:rFonts w:hint="eastAsia" w:ascii="宋体" w:hAnsi="宋体" w:cs="宋体"/>
                <w:kern w:val="0"/>
                <w:sz w:val="24"/>
                <w:szCs w:val="24"/>
              </w:rPr>
              <w:t>□是□否</w:t>
            </w:r>
          </w:p>
        </w:tc>
        <w:tc>
          <w:tcPr>
            <w:tcW w:w="913" w:type="pct"/>
            <w:tcBorders>
              <w:top w:val="nil"/>
              <w:left w:val="nil"/>
              <w:bottom w:val="single" w:color="auto" w:sz="4" w:space="0"/>
              <w:right w:val="single" w:color="auto" w:sz="4" w:space="0"/>
            </w:tcBorders>
            <w:noWrap/>
            <w:vAlign w:val="center"/>
          </w:tcPr>
          <w:p w14:paraId="2318B87D">
            <w:pPr>
              <w:widowControl/>
              <w:jc w:val="center"/>
              <w:rPr>
                <w:rFonts w:ascii="宋体" w:hAnsi="宋体" w:cs="宋体"/>
                <w:kern w:val="0"/>
                <w:sz w:val="24"/>
                <w:szCs w:val="24"/>
              </w:rPr>
            </w:pPr>
          </w:p>
        </w:tc>
        <w:tc>
          <w:tcPr>
            <w:tcW w:w="961" w:type="pct"/>
            <w:tcBorders>
              <w:top w:val="nil"/>
              <w:left w:val="nil"/>
              <w:bottom w:val="single" w:color="auto" w:sz="4" w:space="0"/>
              <w:right w:val="single" w:color="auto" w:sz="4" w:space="0"/>
            </w:tcBorders>
            <w:noWrap/>
            <w:vAlign w:val="center"/>
          </w:tcPr>
          <w:p w14:paraId="21970B72">
            <w:pPr>
              <w:widowControl/>
              <w:jc w:val="center"/>
              <w:rPr>
                <w:rFonts w:ascii="宋体" w:hAnsi="宋体" w:cs="宋体"/>
                <w:kern w:val="0"/>
                <w:sz w:val="24"/>
                <w:szCs w:val="24"/>
              </w:rPr>
            </w:pPr>
          </w:p>
        </w:tc>
        <w:tc>
          <w:tcPr>
            <w:tcW w:w="896" w:type="pct"/>
            <w:tcBorders>
              <w:top w:val="nil"/>
              <w:left w:val="nil"/>
              <w:bottom w:val="single" w:color="auto" w:sz="4" w:space="0"/>
              <w:right w:val="single" w:color="auto" w:sz="4" w:space="0"/>
            </w:tcBorders>
            <w:noWrap/>
            <w:vAlign w:val="center"/>
          </w:tcPr>
          <w:p w14:paraId="4F725883">
            <w:pPr>
              <w:widowControl/>
              <w:jc w:val="center"/>
              <w:rPr>
                <w:rFonts w:ascii="宋体" w:hAnsi="宋体" w:cs="宋体"/>
                <w:kern w:val="0"/>
                <w:sz w:val="24"/>
                <w:szCs w:val="24"/>
              </w:rPr>
            </w:pPr>
          </w:p>
        </w:tc>
        <w:tc>
          <w:tcPr>
            <w:tcW w:w="704" w:type="pct"/>
            <w:tcBorders>
              <w:top w:val="nil"/>
              <w:left w:val="nil"/>
              <w:bottom w:val="single" w:color="auto" w:sz="4" w:space="0"/>
              <w:right w:val="single" w:color="auto" w:sz="4" w:space="0"/>
            </w:tcBorders>
            <w:noWrap/>
            <w:vAlign w:val="center"/>
          </w:tcPr>
          <w:p w14:paraId="289FF63E">
            <w:pPr>
              <w:widowControl/>
              <w:jc w:val="center"/>
              <w:rPr>
                <w:rFonts w:ascii="宋体" w:hAnsi="宋体" w:cs="宋体"/>
                <w:kern w:val="0"/>
                <w:sz w:val="24"/>
                <w:szCs w:val="24"/>
              </w:rPr>
            </w:pPr>
          </w:p>
        </w:tc>
      </w:tr>
      <w:tr w14:paraId="2694BA0C">
        <w:tblPrEx>
          <w:tblCellMar>
            <w:top w:w="0" w:type="dxa"/>
            <w:left w:w="108" w:type="dxa"/>
            <w:bottom w:w="0" w:type="dxa"/>
            <w:right w:w="108" w:type="dxa"/>
          </w:tblCellMar>
        </w:tblPrEx>
        <w:trPr>
          <w:trHeight w:val="567" w:hRule="atLeast"/>
        </w:trPr>
        <w:tc>
          <w:tcPr>
            <w:tcW w:w="1014" w:type="pct"/>
            <w:tcBorders>
              <w:top w:val="nil"/>
              <w:left w:val="single" w:color="auto" w:sz="4" w:space="0"/>
              <w:bottom w:val="single" w:color="auto" w:sz="4" w:space="0"/>
              <w:right w:val="single" w:color="auto" w:sz="4" w:space="0"/>
            </w:tcBorders>
            <w:noWrap/>
            <w:vAlign w:val="center"/>
          </w:tcPr>
          <w:p w14:paraId="7B8D2566">
            <w:pPr>
              <w:widowControl/>
              <w:jc w:val="center"/>
              <w:rPr>
                <w:rFonts w:ascii="宋体" w:hAnsi="宋体" w:cs="宋体"/>
                <w:kern w:val="0"/>
                <w:sz w:val="24"/>
                <w:szCs w:val="24"/>
              </w:rPr>
            </w:pPr>
            <w:r>
              <w:rPr>
                <w:rFonts w:hint="eastAsia" w:ascii="宋体" w:hAnsi="宋体" w:cs="宋体"/>
                <w:kern w:val="0"/>
                <w:sz w:val="24"/>
                <w:szCs w:val="24"/>
              </w:rPr>
              <w:t>窨井盖及井边路面</w:t>
            </w:r>
          </w:p>
        </w:tc>
        <w:tc>
          <w:tcPr>
            <w:tcW w:w="512" w:type="pct"/>
            <w:tcBorders>
              <w:top w:val="nil"/>
              <w:left w:val="nil"/>
              <w:bottom w:val="single" w:color="auto" w:sz="4" w:space="0"/>
              <w:right w:val="single" w:color="auto" w:sz="4" w:space="0"/>
            </w:tcBorders>
            <w:noWrap/>
            <w:vAlign w:val="center"/>
          </w:tcPr>
          <w:p w14:paraId="4813DC1C">
            <w:pPr>
              <w:widowControl/>
              <w:jc w:val="center"/>
              <w:rPr>
                <w:rFonts w:ascii="宋体" w:hAnsi="宋体" w:cs="宋体"/>
                <w:kern w:val="0"/>
                <w:sz w:val="24"/>
                <w:szCs w:val="24"/>
              </w:rPr>
            </w:pPr>
            <w:r>
              <w:rPr>
                <w:rFonts w:hint="eastAsia" w:ascii="宋体" w:hAnsi="宋体" w:cs="宋体"/>
                <w:kern w:val="0"/>
                <w:sz w:val="24"/>
                <w:szCs w:val="24"/>
              </w:rPr>
              <w:t>□是□否</w:t>
            </w:r>
          </w:p>
        </w:tc>
        <w:tc>
          <w:tcPr>
            <w:tcW w:w="913" w:type="pct"/>
            <w:tcBorders>
              <w:top w:val="nil"/>
              <w:left w:val="nil"/>
              <w:bottom w:val="single" w:color="auto" w:sz="4" w:space="0"/>
              <w:right w:val="single" w:color="auto" w:sz="4" w:space="0"/>
            </w:tcBorders>
            <w:noWrap/>
            <w:vAlign w:val="center"/>
          </w:tcPr>
          <w:p w14:paraId="3CE4F62A">
            <w:pPr>
              <w:widowControl/>
              <w:jc w:val="center"/>
              <w:rPr>
                <w:rFonts w:ascii="宋体" w:hAnsi="宋体" w:cs="宋体"/>
                <w:kern w:val="0"/>
                <w:sz w:val="24"/>
                <w:szCs w:val="24"/>
              </w:rPr>
            </w:pPr>
          </w:p>
        </w:tc>
        <w:tc>
          <w:tcPr>
            <w:tcW w:w="961" w:type="pct"/>
            <w:tcBorders>
              <w:top w:val="nil"/>
              <w:left w:val="nil"/>
              <w:bottom w:val="single" w:color="auto" w:sz="4" w:space="0"/>
              <w:right w:val="single" w:color="auto" w:sz="4" w:space="0"/>
            </w:tcBorders>
            <w:noWrap/>
            <w:vAlign w:val="center"/>
          </w:tcPr>
          <w:p w14:paraId="321662C8">
            <w:pPr>
              <w:widowControl/>
              <w:jc w:val="center"/>
              <w:rPr>
                <w:rFonts w:ascii="宋体" w:hAnsi="宋体" w:cs="宋体"/>
                <w:kern w:val="0"/>
                <w:sz w:val="24"/>
                <w:szCs w:val="24"/>
              </w:rPr>
            </w:pPr>
          </w:p>
        </w:tc>
        <w:tc>
          <w:tcPr>
            <w:tcW w:w="896" w:type="pct"/>
            <w:tcBorders>
              <w:top w:val="nil"/>
              <w:left w:val="nil"/>
              <w:bottom w:val="single" w:color="auto" w:sz="4" w:space="0"/>
              <w:right w:val="single" w:color="auto" w:sz="4" w:space="0"/>
            </w:tcBorders>
            <w:noWrap/>
            <w:vAlign w:val="center"/>
          </w:tcPr>
          <w:p w14:paraId="7971E0A7">
            <w:pPr>
              <w:widowControl/>
              <w:jc w:val="center"/>
              <w:rPr>
                <w:rFonts w:ascii="宋体" w:hAnsi="宋体" w:cs="宋体"/>
                <w:kern w:val="0"/>
                <w:sz w:val="24"/>
                <w:szCs w:val="24"/>
              </w:rPr>
            </w:pPr>
          </w:p>
        </w:tc>
        <w:tc>
          <w:tcPr>
            <w:tcW w:w="704" w:type="pct"/>
            <w:tcBorders>
              <w:top w:val="nil"/>
              <w:left w:val="nil"/>
              <w:bottom w:val="single" w:color="auto" w:sz="4" w:space="0"/>
              <w:right w:val="single" w:color="auto" w:sz="4" w:space="0"/>
            </w:tcBorders>
            <w:noWrap/>
            <w:vAlign w:val="center"/>
          </w:tcPr>
          <w:p w14:paraId="76262BCC">
            <w:pPr>
              <w:widowControl/>
              <w:jc w:val="center"/>
              <w:rPr>
                <w:rFonts w:ascii="宋体" w:hAnsi="宋体" w:cs="宋体"/>
                <w:kern w:val="0"/>
                <w:sz w:val="24"/>
                <w:szCs w:val="24"/>
              </w:rPr>
            </w:pPr>
          </w:p>
        </w:tc>
      </w:tr>
      <w:tr w14:paraId="58A3B52D">
        <w:tblPrEx>
          <w:tblCellMar>
            <w:top w:w="0" w:type="dxa"/>
            <w:left w:w="108" w:type="dxa"/>
            <w:bottom w:w="0" w:type="dxa"/>
            <w:right w:w="108" w:type="dxa"/>
          </w:tblCellMar>
        </w:tblPrEx>
        <w:trPr>
          <w:trHeight w:val="567" w:hRule="atLeast"/>
        </w:trPr>
        <w:tc>
          <w:tcPr>
            <w:tcW w:w="1014" w:type="pct"/>
            <w:tcBorders>
              <w:top w:val="nil"/>
              <w:left w:val="single" w:color="auto" w:sz="4" w:space="0"/>
              <w:bottom w:val="single" w:color="auto" w:sz="4" w:space="0"/>
              <w:right w:val="single" w:color="auto" w:sz="4" w:space="0"/>
            </w:tcBorders>
            <w:noWrap/>
            <w:vAlign w:val="center"/>
          </w:tcPr>
          <w:p w14:paraId="31D502F7">
            <w:pPr>
              <w:widowControl/>
              <w:jc w:val="center"/>
              <w:rPr>
                <w:rFonts w:ascii="宋体" w:hAnsi="宋体" w:cs="宋体"/>
                <w:kern w:val="0"/>
                <w:sz w:val="24"/>
                <w:szCs w:val="24"/>
              </w:rPr>
            </w:pPr>
            <w:r>
              <w:rPr>
                <w:rFonts w:hint="eastAsia" w:ascii="宋体" w:hAnsi="宋体" w:cs="宋体"/>
                <w:kern w:val="0"/>
                <w:sz w:val="24"/>
                <w:szCs w:val="24"/>
              </w:rPr>
              <w:t>无障碍设施</w:t>
            </w:r>
          </w:p>
        </w:tc>
        <w:tc>
          <w:tcPr>
            <w:tcW w:w="512" w:type="pct"/>
            <w:tcBorders>
              <w:top w:val="nil"/>
              <w:left w:val="nil"/>
              <w:bottom w:val="single" w:color="auto" w:sz="4" w:space="0"/>
              <w:right w:val="single" w:color="auto" w:sz="4" w:space="0"/>
            </w:tcBorders>
            <w:noWrap/>
            <w:vAlign w:val="center"/>
          </w:tcPr>
          <w:p w14:paraId="2231FDAA">
            <w:pPr>
              <w:widowControl/>
              <w:jc w:val="center"/>
              <w:rPr>
                <w:rFonts w:ascii="宋体" w:hAnsi="宋体" w:cs="宋体"/>
                <w:kern w:val="0"/>
                <w:sz w:val="24"/>
                <w:szCs w:val="24"/>
              </w:rPr>
            </w:pPr>
            <w:r>
              <w:rPr>
                <w:rFonts w:hint="eastAsia" w:ascii="宋体" w:hAnsi="宋体" w:cs="宋体"/>
                <w:kern w:val="0"/>
                <w:sz w:val="24"/>
                <w:szCs w:val="24"/>
              </w:rPr>
              <w:t>□是□否</w:t>
            </w:r>
          </w:p>
        </w:tc>
        <w:tc>
          <w:tcPr>
            <w:tcW w:w="913" w:type="pct"/>
            <w:tcBorders>
              <w:top w:val="nil"/>
              <w:left w:val="nil"/>
              <w:bottom w:val="single" w:color="auto" w:sz="4" w:space="0"/>
              <w:right w:val="single" w:color="auto" w:sz="4" w:space="0"/>
            </w:tcBorders>
            <w:noWrap/>
            <w:vAlign w:val="center"/>
          </w:tcPr>
          <w:p w14:paraId="5CE4C92C">
            <w:pPr>
              <w:widowControl/>
              <w:jc w:val="center"/>
              <w:rPr>
                <w:rFonts w:ascii="宋体" w:hAnsi="宋体" w:cs="宋体"/>
                <w:kern w:val="0"/>
                <w:sz w:val="24"/>
                <w:szCs w:val="24"/>
              </w:rPr>
            </w:pPr>
          </w:p>
        </w:tc>
        <w:tc>
          <w:tcPr>
            <w:tcW w:w="961" w:type="pct"/>
            <w:tcBorders>
              <w:top w:val="nil"/>
              <w:left w:val="nil"/>
              <w:bottom w:val="single" w:color="auto" w:sz="4" w:space="0"/>
              <w:right w:val="single" w:color="auto" w:sz="4" w:space="0"/>
            </w:tcBorders>
            <w:noWrap/>
            <w:vAlign w:val="center"/>
          </w:tcPr>
          <w:p w14:paraId="4E0F2BE5">
            <w:pPr>
              <w:widowControl/>
              <w:jc w:val="center"/>
              <w:rPr>
                <w:rFonts w:ascii="宋体" w:hAnsi="宋体" w:cs="宋体"/>
                <w:kern w:val="0"/>
                <w:sz w:val="24"/>
                <w:szCs w:val="24"/>
              </w:rPr>
            </w:pPr>
          </w:p>
        </w:tc>
        <w:tc>
          <w:tcPr>
            <w:tcW w:w="896" w:type="pct"/>
            <w:tcBorders>
              <w:top w:val="nil"/>
              <w:left w:val="nil"/>
              <w:bottom w:val="single" w:color="auto" w:sz="4" w:space="0"/>
              <w:right w:val="single" w:color="auto" w:sz="4" w:space="0"/>
            </w:tcBorders>
            <w:noWrap/>
            <w:vAlign w:val="center"/>
          </w:tcPr>
          <w:p w14:paraId="269E9FFA">
            <w:pPr>
              <w:widowControl/>
              <w:jc w:val="center"/>
              <w:rPr>
                <w:rFonts w:ascii="宋体" w:hAnsi="宋体" w:cs="宋体"/>
                <w:kern w:val="0"/>
                <w:sz w:val="24"/>
                <w:szCs w:val="24"/>
              </w:rPr>
            </w:pPr>
          </w:p>
        </w:tc>
        <w:tc>
          <w:tcPr>
            <w:tcW w:w="704" w:type="pct"/>
            <w:tcBorders>
              <w:top w:val="nil"/>
              <w:left w:val="nil"/>
              <w:bottom w:val="single" w:color="auto" w:sz="4" w:space="0"/>
              <w:right w:val="single" w:color="auto" w:sz="4" w:space="0"/>
            </w:tcBorders>
            <w:noWrap/>
            <w:vAlign w:val="center"/>
          </w:tcPr>
          <w:p w14:paraId="01C13DCC">
            <w:pPr>
              <w:widowControl/>
              <w:jc w:val="center"/>
              <w:rPr>
                <w:rFonts w:ascii="宋体" w:hAnsi="宋体" w:cs="宋体"/>
                <w:kern w:val="0"/>
                <w:sz w:val="24"/>
                <w:szCs w:val="24"/>
              </w:rPr>
            </w:pPr>
          </w:p>
        </w:tc>
      </w:tr>
      <w:tr w14:paraId="282AB8A4">
        <w:tblPrEx>
          <w:tblCellMar>
            <w:top w:w="0" w:type="dxa"/>
            <w:left w:w="108" w:type="dxa"/>
            <w:bottom w:w="0" w:type="dxa"/>
            <w:right w:w="108" w:type="dxa"/>
          </w:tblCellMar>
        </w:tblPrEx>
        <w:trPr>
          <w:trHeight w:val="567" w:hRule="atLeast"/>
        </w:trPr>
        <w:tc>
          <w:tcPr>
            <w:tcW w:w="2439" w:type="pct"/>
            <w:gridSpan w:val="3"/>
            <w:tcBorders>
              <w:top w:val="single" w:color="auto" w:sz="4" w:space="0"/>
              <w:left w:val="single" w:color="auto" w:sz="4" w:space="0"/>
              <w:bottom w:val="single" w:color="auto" w:sz="4" w:space="0"/>
              <w:right w:val="single" w:color="auto" w:sz="4" w:space="0"/>
            </w:tcBorders>
            <w:noWrap/>
            <w:vAlign w:val="center"/>
          </w:tcPr>
          <w:p w14:paraId="51BBBC44">
            <w:pPr>
              <w:widowControl/>
              <w:jc w:val="center"/>
              <w:rPr>
                <w:rFonts w:ascii="宋体" w:hAnsi="宋体" w:cs="宋体"/>
                <w:kern w:val="0"/>
                <w:sz w:val="24"/>
                <w:szCs w:val="24"/>
              </w:rPr>
            </w:pPr>
            <w:r>
              <w:rPr>
                <w:rFonts w:hint="eastAsia" w:ascii="宋体" w:hAnsi="宋体" w:cs="宋体"/>
                <w:kern w:val="0"/>
                <w:sz w:val="24"/>
                <w:szCs w:val="24"/>
              </w:rPr>
              <w:t>道路范围内施工</w:t>
            </w:r>
          </w:p>
        </w:tc>
        <w:tc>
          <w:tcPr>
            <w:tcW w:w="2561" w:type="pct"/>
            <w:gridSpan w:val="3"/>
            <w:tcBorders>
              <w:top w:val="nil"/>
              <w:left w:val="nil"/>
              <w:bottom w:val="single" w:color="auto" w:sz="4" w:space="0"/>
              <w:right w:val="single" w:color="auto" w:sz="4" w:space="0"/>
            </w:tcBorders>
            <w:noWrap/>
            <w:vAlign w:val="center"/>
          </w:tcPr>
          <w:p w14:paraId="015F8E0E">
            <w:pPr>
              <w:widowControl/>
              <w:jc w:val="center"/>
              <w:rPr>
                <w:rFonts w:ascii="宋体" w:hAnsi="宋体" w:cs="宋体"/>
                <w:kern w:val="0"/>
                <w:sz w:val="24"/>
                <w:szCs w:val="24"/>
              </w:rPr>
            </w:pPr>
          </w:p>
        </w:tc>
      </w:tr>
      <w:tr w14:paraId="56A90C61">
        <w:tblPrEx>
          <w:tblCellMar>
            <w:top w:w="0" w:type="dxa"/>
            <w:left w:w="108" w:type="dxa"/>
            <w:bottom w:w="0" w:type="dxa"/>
            <w:right w:w="108" w:type="dxa"/>
          </w:tblCellMar>
        </w:tblPrEx>
        <w:trPr>
          <w:trHeight w:val="567" w:hRule="atLeast"/>
        </w:trPr>
        <w:tc>
          <w:tcPr>
            <w:tcW w:w="2439" w:type="pct"/>
            <w:gridSpan w:val="3"/>
            <w:tcBorders>
              <w:top w:val="single" w:color="auto" w:sz="4" w:space="0"/>
              <w:left w:val="single" w:color="auto" w:sz="4" w:space="0"/>
              <w:bottom w:val="single" w:color="auto" w:sz="4" w:space="0"/>
              <w:right w:val="single" w:color="auto" w:sz="4" w:space="0"/>
            </w:tcBorders>
            <w:noWrap/>
            <w:vAlign w:val="center"/>
          </w:tcPr>
          <w:p w14:paraId="571FC035">
            <w:pPr>
              <w:widowControl/>
              <w:jc w:val="center"/>
              <w:rPr>
                <w:rFonts w:ascii="宋体" w:hAnsi="宋体" w:cs="宋体"/>
                <w:kern w:val="0"/>
                <w:sz w:val="24"/>
                <w:szCs w:val="24"/>
              </w:rPr>
            </w:pPr>
            <w:r>
              <w:rPr>
                <w:rFonts w:hint="eastAsia" w:ascii="宋体" w:hAnsi="宋体" w:cs="宋体"/>
                <w:kern w:val="0"/>
                <w:sz w:val="24"/>
                <w:szCs w:val="24"/>
              </w:rPr>
              <w:t>其他不正常损坏现象</w:t>
            </w:r>
          </w:p>
        </w:tc>
        <w:tc>
          <w:tcPr>
            <w:tcW w:w="2561" w:type="pct"/>
            <w:gridSpan w:val="3"/>
            <w:tcBorders>
              <w:top w:val="nil"/>
              <w:left w:val="nil"/>
              <w:bottom w:val="single" w:color="auto" w:sz="4" w:space="0"/>
              <w:right w:val="single" w:color="auto" w:sz="4" w:space="0"/>
            </w:tcBorders>
            <w:noWrap/>
            <w:vAlign w:val="center"/>
          </w:tcPr>
          <w:p w14:paraId="140CDA15">
            <w:pPr>
              <w:widowControl/>
              <w:jc w:val="center"/>
              <w:rPr>
                <w:rFonts w:ascii="宋体" w:hAnsi="宋体" w:cs="宋体"/>
                <w:kern w:val="0"/>
                <w:sz w:val="24"/>
                <w:szCs w:val="24"/>
              </w:rPr>
            </w:pPr>
          </w:p>
        </w:tc>
      </w:tr>
      <w:tr w14:paraId="7EE2886E">
        <w:tblPrEx>
          <w:tblCellMar>
            <w:top w:w="0" w:type="dxa"/>
            <w:left w:w="108" w:type="dxa"/>
            <w:bottom w:w="0" w:type="dxa"/>
            <w:right w:w="108" w:type="dxa"/>
          </w:tblCellMar>
        </w:tblPrEx>
        <w:trPr>
          <w:trHeight w:val="567" w:hRule="atLeast"/>
        </w:trPr>
        <w:tc>
          <w:tcPr>
            <w:tcW w:w="1014" w:type="pct"/>
            <w:tcBorders>
              <w:top w:val="single" w:color="auto" w:sz="4" w:space="0"/>
              <w:left w:val="single" w:color="auto" w:sz="4" w:space="0"/>
              <w:bottom w:val="single" w:color="auto" w:sz="4" w:space="0"/>
              <w:right w:val="single" w:color="auto" w:sz="4" w:space="0"/>
            </w:tcBorders>
            <w:noWrap/>
            <w:vAlign w:val="center"/>
          </w:tcPr>
          <w:p w14:paraId="5B5556FD">
            <w:pPr>
              <w:widowControl/>
              <w:jc w:val="center"/>
              <w:rPr>
                <w:rFonts w:ascii="宋体" w:hAnsi="宋体" w:cs="宋体"/>
                <w:kern w:val="0"/>
                <w:sz w:val="24"/>
                <w:szCs w:val="24"/>
              </w:rPr>
            </w:pPr>
            <w:r>
              <w:rPr>
                <w:rFonts w:hint="eastAsia" w:ascii="宋体" w:hAnsi="宋体" w:cs="宋体"/>
                <w:kern w:val="0"/>
                <w:sz w:val="24"/>
                <w:szCs w:val="24"/>
              </w:rPr>
              <w:t>巡查人</w:t>
            </w:r>
          </w:p>
        </w:tc>
        <w:tc>
          <w:tcPr>
            <w:tcW w:w="1425" w:type="pct"/>
            <w:gridSpan w:val="2"/>
            <w:tcBorders>
              <w:top w:val="nil"/>
              <w:left w:val="nil"/>
              <w:bottom w:val="single" w:color="auto" w:sz="4" w:space="0"/>
              <w:right w:val="single" w:color="auto" w:sz="4" w:space="0"/>
            </w:tcBorders>
            <w:noWrap/>
            <w:vAlign w:val="center"/>
          </w:tcPr>
          <w:p w14:paraId="136D46C3">
            <w:pPr>
              <w:widowControl/>
              <w:jc w:val="center"/>
              <w:rPr>
                <w:rFonts w:ascii="宋体" w:hAnsi="宋体" w:cs="宋体"/>
                <w:kern w:val="0"/>
                <w:sz w:val="24"/>
                <w:szCs w:val="24"/>
              </w:rPr>
            </w:pPr>
          </w:p>
        </w:tc>
        <w:tc>
          <w:tcPr>
            <w:tcW w:w="961" w:type="pct"/>
            <w:tcBorders>
              <w:top w:val="nil"/>
              <w:left w:val="nil"/>
              <w:bottom w:val="single" w:color="auto" w:sz="4" w:space="0"/>
              <w:right w:val="single" w:color="auto" w:sz="4" w:space="0"/>
            </w:tcBorders>
            <w:noWrap/>
            <w:vAlign w:val="center"/>
          </w:tcPr>
          <w:p w14:paraId="0451755D">
            <w:pPr>
              <w:widowControl/>
              <w:jc w:val="center"/>
              <w:rPr>
                <w:rFonts w:ascii="宋体" w:hAnsi="宋体" w:cs="宋体"/>
                <w:kern w:val="0"/>
                <w:sz w:val="24"/>
                <w:szCs w:val="24"/>
              </w:rPr>
            </w:pPr>
            <w:r>
              <w:rPr>
                <w:rFonts w:hint="eastAsia" w:ascii="宋体" w:hAnsi="宋体" w:cs="宋体"/>
                <w:kern w:val="0"/>
                <w:sz w:val="24"/>
                <w:szCs w:val="24"/>
              </w:rPr>
              <w:t>巡检日期</w:t>
            </w:r>
          </w:p>
        </w:tc>
        <w:tc>
          <w:tcPr>
            <w:tcW w:w="1600" w:type="pct"/>
            <w:gridSpan w:val="2"/>
            <w:tcBorders>
              <w:top w:val="single" w:color="auto" w:sz="4" w:space="0"/>
              <w:left w:val="nil"/>
              <w:bottom w:val="single" w:color="auto" w:sz="4" w:space="0"/>
              <w:right w:val="single" w:color="000000" w:sz="4" w:space="0"/>
            </w:tcBorders>
            <w:vAlign w:val="center"/>
          </w:tcPr>
          <w:p w14:paraId="469DF8A8">
            <w:pPr>
              <w:widowControl/>
              <w:jc w:val="center"/>
              <w:rPr>
                <w:rFonts w:ascii="宋体" w:hAnsi="宋体" w:cs="宋体"/>
                <w:kern w:val="0"/>
                <w:sz w:val="24"/>
                <w:szCs w:val="24"/>
              </w:rPr>
            </w:pPr>
            <w:r>
              <w:rPr>
                <w:rFonts w:hint="eastAsia" w:ascii="宋体" w:hAnsi="宋体" w:cs="宋体"/>
                <w:kern w:val="0"/>
                <w:sz w:val="24"/>
                <w:szCs w:val="24"/>
              </w:rPr>
              <w:t xml:space="preserve">年   月   日     </w:t>
            </w:r>
          </w:p>
          <w:p w14:paraId="21B5EF33">
            <w:pPr>
              <w:widowControl/>
              <w:jc w:val="center"/>
              <w:rPr>
                <w:rFonts w:ascii="宋体" w:hAnsi="宋体" w:cs="宋体"/>
                <w:kern w:val="0"/>
                <w:sz w:val="24"/>
                <w:szCs w:val="24"/>
              </w:rPr>
            </w:pPr>
            <w:r>
              <w:rPr>
                <w:rFonts w:hint="eastAsia" w:ascii="宋体" w:hAnsi="宋体" w:cs="宋体"/>
                <w:kern w:val="0"/>
                <w:sz w:val="24"/>
                <w:szCs w:val="24"/>
              </w:rPr>
              <w:t>星期      天气</w:t>
            </w:r>
          </w:p>
        </w:tc>
      </w:tr>
    </w:tbl>
    <w:p w14:paraId="0AEF45C0">
      <w:pPr>
        <w:rPr>
          <w:rFonts w:hint="eastAsia" w:ascii="宋体" w:hAnsi="宋体"/>
        </w:rPr>
      </w:pPr>
    </w:p>
    <w:sectPr>
      <w:footerReference r:id="rId5" w:type="default"/>
      <w:pgSz w:w="16838" w:h="11906" w:orient="landscape"/>
      <w:pgMar w:top="1800" w:right="1440" w:bottom="1800" w:left="1440" w:header="851" w:footer="992" w:gutter="0"/>
      <w:cols w:space="425" w:num="1"/>
      <w:docGrid w:type="lines"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方正小标宋_GBK">
    <w:altName w:val="微软雅黑"/>
    <w:panose1 w:val="03000509000000000000"/>
    <w:charset w:val="86"/>
    <w:family w:val="script"/>
    <w:pitch w:val="default"/>
    <w:sig w:usb0="00000000" w:usb1="00000000" w:usb2="00000010" w:usb3="00000000" w:csb0="00040000" w:csb1="00000000"/>
  </w:font>
  <w:font w:name="Helvetica">
    <w:altName w:val="Arial"/>
    <w:panose1 w:val="020B0504020202020204"/>
    <w:charset w:val="00"/>
    <w:family w:val="swiss"/>
    <w:pitch w:val="default"/>
    <w:sig w:usb0="00000000" w:usb1="00000000" w:usb2="00000009" w:usb3="00000000" w:csb0="0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09713">
    <w:pPr>
      <w:pStyle w:val="8"/>
      <w:jc w:val="center"/>
      <w:rPr>
        <w:rFonts w:ascii="宋体" w:hAnsi="宋体"/>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11077451"/>
    </w:sdtPr>
    <w:sdtEndPr>
      <w:rPr>
        <w:rFonts w:ascii="宋体" w:hAnsi="宋体"/>
        <w:sz w:val="21"/>
        <w:szCs w:val="21"/>
      </w:rPr>
    </w:sdtEndPr>
    <w:sdtContent>
      <w:p w14:paraId="73D19F25">
        <w:pPr>
          <w:pStyle w:val="8"/>
          <w:jc w:val="center"/>
          <w:rPr>
            <w:rFonts w:ascii="宋体" w:hAnsi="宋体"/>
            <w:sz w:val="21"/>
            <w:szCs w:val="21"/>
          </w:rPr>
        </w:pPr>
        <w:r>
          <w:rPr>
            <w:rFonts w:ascii="宋体" w:hAnsi="宋体"/>
            <w:sz w:val="21"/>
            <w:szCs w:val="21"/>
          </w:rPr>
          <w:fldChar w:fldCharType="begin"/>
        </w:r>
        <w:r>
          <w:rPr>
            <w:rFonts w:ascii="宋体" w:hAnsi="宋体"/>
            <w:sz w:val="21"/>
            <w:szCs w:val="21"/>
          </w:rPr>
          <w:instrText xml:space="preserve">PAGE   \* MERGEFORMAT</w:instrText>
        </w:r>
        <w:r>
          <w:rPr>
            <w:rFonts w:ascii="宋体" w:hAnsi="宋体"/>
            <w:sz w:val="21"/>
            <w:szCs w:val="21"/>
          </w:rPr>
          <w:fldChar w:fldCharType="separate"/>
        </w:r>
        <w:r>
          <w:rPr>
            <w:rFonts w:ascii="宋体" w:hAnsi="宋体"/>
            <w:sz w:val="21"/>
            <w:szCs w:val="21"/>
            <w:lang w:val="zh-CN"/>
          </w:rPr>
          <w:t>9</w:t>
        </w:r>
        <w:r>
          <w:rPr>
            <w:rFonts w:ascii="宋体" w:hAnsi="宋体"/>
            <w:sz w:val="21"/>
            <w:szCs w:val="21"/>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20239389"/>
    </w:sdtPr>
    <w:sdtEndPr>
      <w:rPr>
        <w:rFonts w:ascii="宋体" w:hAnsi="宋体"/>
        <w:sz w:val="21"/>
        <w:szCs w:val="21"/>
      </w:rPr>
    </w:sdtEndPr>
    <w:sdtContent>
      <w:p w14:paraId="715FED59">
        <w:pPr>
          <w:pStyle w:val="8"/>
          <w:jc w:val="center"/>
          <w:rPr>
            <w:rFonts w:ascii="宋体" w:hAnsi="宋体"/>
            <w:sz w:val="21"/>
            <w:szCs w:val="21"/>
          </w:rPr>
        </w:pPr>
        <w:r>
          <w:rPr>
            <w:rFonts w:ascii="宋体" w:hAnsi="宋体"/>
            <w:sz w:val="21"/>
            <w:szCs w:val="21"/>
          </w:rPr>
          <w:fldChar w:fldCharType="begin"/>
        </w:r>
        <w:r>
          <w:rPr>
            <w:rFonts w:ascii="宋体" w:hAnsi="宋体"/>
            <w:sz w:val="21"/>
            <w:szCs w:val="21"/>
          </w:rPr>
          <w:instrText xml:space="preserve">PAGE   \* MERGEFORMAT</w:instrText>
        </w:r>
        <w:r>
          <w:rPr>
            <w:rFonts w:ascii="宋体" w:hAnsi="宋体"/>
            <w:sz w:val="21"/>
            <w:szCs w:val="21"/>
          </w:rPr>
          <w:fldChar w:fldCharType="separate"/>
        </w:r>
        <w:r>
          <w:rPr>
            <w:rFonts w:ascii="宋体" w:hAnsi="宋体"/>
            <w:sz w:val="21"/>
            <w:szCs w:val="21"/>
            <w:lang w:val="zh-CN"/>
          </w:rPr>
          <w:t>45</w:t>
        </w:r>
        <w:r>
          <w:rPr>
            <w:rFonts w:ascii="宋体" w:hAnsi="宋体"/>
            <w:sz w:val="21"/>
            <w:szCs w:val="21"/>
          </w:rPr>
          <w:fldChar w:fldCharType="end"/>
        </w:r>
      </w:p>
    </w:sdtContent>
  </w:sdt>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163F13"/>
    <w:multiLevelType w:val="multilevel"/>
    <w:tmpl w:val="05163F13"/>
    <w:lvl w:ilvl="0" w:tentative="0">
      <w:start w:val="1"/>
      <w:numFmt w:val="lowerLetter"/>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
    <w:nsid w:val="07451348"/>
    <w:multiLevelType w:val="multilevel"/>
    <w:tmpl w:val="07451348"/>
    <w:lvl w:ilvl="0" w:tentative="0">
      <w:start w:val="1"/>
      <w:numFmt w:val="lowerLetter"/>
      <w:lvlText w:val="%1)"/>
      <w:lvlJc w:val="left"/>
      <w:pPr>
        <w:tabs>
          <w:tab w:val="left" w:pos="720"/>
        </w:tabs>
        <w:ind w:left="720" w:hanging="360"/>
      </w:pPr>
      <w:rPr>
        <w:rFonts w:hint="default"/>
        <w:sz w:val="28"/>
        <w:szCs w:val="28"/>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2">
    <w:nsid w:val="125F7FE2"/>
    <w:multiLevelType w:val="multilevel"/>
    <w:tmpl w:val="125F7FE2"/>
    <w:lvl w:ilvl="0" w:tentative="0">
      <w:start w:val="1"/>
      <w:numFmt w:val="lowerLetter"/>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C2F749B"/>
    <w:multiLevelType w:val="multilevel"/>
    <w:tmpl w:val="1C2F749B"/>
    <w:lvl w:ilvl="0" w:tentative="0">
      <w:start w:val="1"/>
      <w:numFmt w:val="lowerLetter"/>
      <w:lvlText w:val="%1)"/>
      <w:lvlJc w:val="left"/>
      <w:pPr>
        <w:ind w:left="420" w:hanging="420"/>
      </w:pPr>
      <w:rPr>
        <w:rFonts w:hint="eastAsia" w:eastAsia="宋体"/>
        <w:sz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22D050F2"/>
    <w:multiLevelType w:val="multilevel"/>
    <w:tmpl w:val="22D050F2"/>
    <w:lvl w:ilvl="0" w:tentative="0">
      <w:start w:val="1"/>
      <w:numFmt w:val="lowerLetter"/>
      <w:lvlText w:val="%1)"/>
      <w:lvlJc w:val="left"/>
      <w:pPr>
        <w:tabs>
          <w:tab w:val="left" w:pos="720"/>
        </w:tabs>
        <w:ind w:left="720" w:hanging="360"/>
      </w:pPr>
      <w:rPr>
        <w:rFonts w:hint="default"/>
        <w:sz w:val="28"/>
        <w:szCs w:val="28"/>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5">
    <w:nsid w:val="27220AA3"/>
    <w:multiLevelType w:val="multilevel"/>
    <w:tmpl w:val="27220AA3"/>
    <w:lvl w:ilvl="0" w:tentative="0">
      <w:start w:val="1"/>
      <w:numFmt w:val="lowerLetter"/>
      <w:lvlText w:val="%1)"/>
      <w:lvlJc w:val="left"/>
      <w:pPr>
        <w:tabs>
          <w:tab w:val="left" w:pos="720"/>
        </w:tabs>
        <w:ind w:left="720" w:hanging="360"/>
      </w:pPr>
      <w:rPr>
        <w:rFonts w:hint="default"/>
        <w:sz w:val="28"/>
        <w:szCs w:val="28"/>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6">
    <w:nsid w:val="2EEA0C5E"/>
    <w:multiLevelType w:val="multilevel"/>
    <w:tmpl w:val="2EEA0C5E"/>
    <w:lvl w:ilvl="0" w:tentative="0">
      <w:start w:val="1"/>
      <w:numFmt w:val="lowerLetter"/>
      <w:lvlText w:val="%1)"/>
      <w:lvlJc w:val="left"/>
      <w:pPr>
        <w:tabs>
          <w:tab w:val="left" w:pos="720"/>
        </w:tabs>
        <w:ind w:left="720" w:hanging="360"/>
      </w:pPr>
      <w:rPr>
        <w:rFonts w:hint="eastAsia" w:eastAsia="宋体"/>
        <w:sz w:val="28"/>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7">
    <w:nsid w:val="40165E27"/>
    <w:multiLevelType w:val="multilevel"/>
    <w:tmpl w:val="40165E27"/>
    <w:lvl w:ilvl="0" w:tentative="0">
      <w:start w:val="1"/>
      <w:numFmt w:val="lowerLetter"/>
      <w:lvlText w:val="%1)"/>
      <w:lvlJc w:val="left"/>
      <w:pPr>
        <w:ind w:left="420" w:hanging="420"/>
      </w:pPr>
      <w:rPr>
        <w:rFonts w:hint="eastAsia" w:eastAsia="宋体"/>
        <w:sz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48077CEB"/>
    <w:multiLevelType w:val="multilevel"/>
    <w:tmpl w:val="48077CEB"/>
    <w:lvl w:ilvl="0" w:tentative="0">
      <w:start w:val="1"/>
      <w:numFmt w:val="lowerLetter"/>
      <w:lvlText w:val="%1)"/>
      <w:lvlJc w:val="left"/>
      <w:pPr>
        <w:tabs>
          <w:tab w:val="left" w:pos="720"/>
        </w:tabs>
        <w:ind w:left="720" w:hanging="360"/>
      </w:pPr>
      <w:rPr>
        <w:rFonts w:hint="default"/>
        <w:sz w:val="28"/>
        <w:szCs w:val="28"/>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9">
    <w:nsid w:val="4A73726D"/>
    <w:multiLevelType w:val="multilevel"/>
    <w:tmpl w:val="4A73726D"/>
    <w:lvl w:ilvl="0" w:tentative="0">
      <w:start w:val="1"/>
      <w:numFmt w:val="lowerLetter"/>
      <w:lvlText w:val="%1)"/>
      <w:lvlJc w:val="left"/>
      <w:pPr>
        <w:ind w:left="980" w:hanging="420"/>
      </w:pPr>
      <w:rPr>
        <w:rFonts w:hint="eastAsia" w:eastAsia="宋体"/>
        <w:sz w:val="28"/>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0">
    <w:nsid w:val="4E457395"/>
    <w:multiLevelType w:val="multilevel"/>
    <w:tmpl w:val="4E457395"/>
    <w:lvl w:ilvl="0" w:tentative="0">
      <w:start w:val="1"/>
      <w:numFmt w:val="lowerLetter"/>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1">
    <w:nsid w:val="50C016CB"/>
    <w:multiLevelType w:val="multilevel"/>
    <w:tmpl w:val="50C016CB"/>
    <w:lvl w:ilvl="0" w:tentative="0">
      <w:start w:val="1"/>
      <w:numFmt w:val="lowerLetter"/>
      <w:lvlText w:val="%1)"/>
      <w:lvlJc w:val="left"/>
      <w:pPr>
        <w:tabs>
          <w:tab w:val="left" w:pos="720"/>
        </w:tabs>
        <w:ind w:left="720" w:hanging="360"/>
      </w:pPr>
      <w:rPr>
        <w:rFonts w:hint="default"/>
        <w:sz w:val="28"/>
        <w:szCs w:val="28"/>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12">
    <w:nsid w:val="5F633613"/>
    <w:multiLevelType w:val="multilevel"/>
    <w:tmpl w:val="5F633613"/>
    <w:lvl w:ilvl="0" w:tentative="0">
      <w:start w:val="1"/>
      <w:numFmt w:val="lowerLetter"/>
      <w:lvlText w:val="%1)"/>
      <w:lvlJc w:val="left"/>
      <w:pPr>
        <w:ind w:left="980" w:hanging="420"/>
      </w:pPr>
      <w:rPr>
        <w:rFonts w:hint="eastAsia" w:eastAsia="宋体"/>
        <w:sz w:val="28"/>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3">
    <w:nsid w:val="601005E1"/>
    <w:multiLevelType w:val="multilevel"/>
    <w:tmpl w:val="601005E1"/>
    <w:lvl w:ilvl="0" w:tentative="0">
      <w:start w:val="1"/>
      <w:numFmt w:val="lowerLetter"/>
      <w:lvlText w:val="%1)"/>
      <w:lvlJc w:val="left"/>
      <w:pPr>
        <w:ind w:left="980" w:hanging="420"/>
      </w:pPr>
      <w:rPr>
        <w:rFonts w:hint="eastAsia" w:eastAsia="宋体"/>
        <w:sz w:val="28"/>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4">
    <w:nsid w:val="6CCF132D"/>
    <w:multiLevelType w:val="multilevel"/>
    <w:tmpl w:val="6CCF132D"/>
    <w:lvl w:ilvl="0" w:tentative="0">
      <w:start w:val="1"/>
      <w:numFmt w:val="lowerLetter"/>
      <w:lvlText w:val="%1)"/>
      <w:lvlJc w:val="left"/>
      <w:pPr>
        <w:tabs>
          <w:tab w:val="left" w:pos="720"/>
        </w:tabs>
        <w:ind w:left="720" w:hanging="360"/>
      </w:pPr>
      <w:rPr>
        <w:rFonts w:hint="default"/>
        <w:sz w:val="28"/>
        <w:szCs w:val="28"/>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15">
    <w:nsid w:val="6CE31509"/>
    <w:multiLevelType w:val="multilevel"/>
    <w:tmpl w:val="6CE31509"/>
    <w:lvl w:ilvl="0" w:tentative="0">
      <w:start w:val="1"/>
      <w:numFmt w:val="lowerLetter"/>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6">
    <w:nsid w:val="6CEA2025"/>
    <w:multiLevelType w:val="multilevel"/>
    <w:tmpl w:val="6CEA2025"/>
    <w:lvl w:ilvl="0" w:tentative="0">
      <w:start w:val="1"/>
      <w:numFmt w:val="none"/>
      <w:pStyle w:val="33"/>
      <w:suff w:val="nothing"/>
      <w:lvlText w:val="%1"/>
      <w:lvlJc w:val="left"/>
      <w:pPr>
        <w:ind w:left="0" w:firstLine="0"/>
      </w:pPr>
      <w:rPr>
        <w:rFonts w:hint="eastAsia"/>
      </w:rPr>
    </w:lvl>
    <w:lvl w:ilvl="1" w:tentative="0">
      <w:start w:val="1"/>
      <w:numFmt w:val="decimal"/>
      <w:pStyle w:val="31"/>
      <w:suff w:val="nothing"/>
      <w:lvlText w:val="%1%2　"/>
      <w:lvlJc w:val="left"/>
      <w:pPr>
        <w:ind w:left="0" w:firstLine="0"/>
      </w:pPr>
      <w:rPr>
        <w:rFonts w:hint="eastAsia" w:ascii="黑体" w:eastAsia="黑体"/>
        <w:b w:val="0"/>
        <w:i w:val="0"/>
        <w:sz w:val="21"/>
      </w:rPr>
    </w:lvl>
    <w:lvl w:ilvl="2" w:tentative="0">
      <w:start w:val="1"/>
      <w:numFmt w:val="decimal"/>
      <w:pStyle w:val="32"/>
      <w:suff w:val="nothing"/>
      <w:lvlText w:val="%1%2.%3　"/>
      <w:lvlJc w:val="left"/>
      <w:pPr>
        <w:ind w:left="0" w:firstLine="0"/>
      </w:pPr>
      <w:rPr>
        <w:rFonts w:hint="eastAsia" w:ascii="黑体" w:hAnsi="Times New Roman" w:eastAsia="黑体" w:cs="Times New Roman"/>
        <w:b w:val="0"/>
        <w:bCs w:val="0"/>
        <w:i w:val="0"/>
        <w:iCs w:val="0"/>
        <w:caps w:val="0"/>
        <w:smallCaps w:val="0"/>
        <w:strike w:val="0"/>
        <w:dstrike w:val="0"/>
        <w:vanish w:val="0"/>
        <w:color w:val="000000"/>
        <w:spacing w:val="0"/>
        <w:kern w:val="0"/>
        <w:position w:val="0"/>
        <w:sz w:val="21"/>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3" w:tentative="0">
      <w:start w:val="1"/>
      <w:numFmt w:val="decimal"/>
      <w:pStyle w:val="27"/>
      <w:suff w:val="nothing"/>
      <w:lvlText w:val="%1%2.%3.%4　"/>
      <w:lvlJc w:val="left"/>
      <w:pPr>
        <w:ind w:left="0" w:firstLine="0"/>
      </w:pPr>
      <w:rPr>
        <w:rFonts w:hint="eastAsia" w:ascii="黑体" w:eastAsia="黑体"/>
        <w:b w:val="0"/>
        <w:i w:val="0"/>
        <w:sz w:val="21"/>
      </w:rPr>
    </w:lvl>
    <w:lvl w:ilvl="4" w:tentative="0">
      <w:start w:val="1"/>
      <w:numFmt w:val="decimal"/>
      <w:pStyle w:val="28"/>
      <w:suff w:val="nothing"/>
      <w:lvlText w:val="%1%2.%3.%4.%5　"/>
      <w:lvlJc w:val="left"/>
      <w:pPr>
        <w:ind w:left="0" w:firstLine="0"/>
      </w:pPr>
      <w:rPr>
        <w:rFonts w:hint="eastAsia" w:ascii="黑体" w:eastAsia="黑体"/>
        <w:b w:val="0"/>
        <w:i w:val="0"/>
        <w:sz w:val="21"/>
      </w:rPr>
    </w:lvl>
    <w:lvl w:ilvl="5" w:tentative="0">
      <w:start w:val="1"/>
      <w:numFmt w:val="decimal"/>
      <w:pStyle w:val="29"/>
      <w:suff w:val="nothing"/>
      <w:lvlText w:val="%1%2.%3.%4.%5.%6　"/>
      <w:lvlJc w:val="left"/>
      <w:pPr>
        <w:ind w:left="0" w:firstLine="0"/>
      </w:pPr>
      <w:rPr>
        <w:rFonts w:hint="eastAsia" w:ascii="黑体" w:eastAsia="黑体"/>
        <w:b w:val="0"/>
        <w:i w:val="0"/>
        <w:sz w:val="21"/>
      </w:rPr>
    </w:lvl>
    <w:lvl w:ilvl="6" w:tentative="0">
      <w:start w:val="1"/>
      <w:numFmt w:val="decimal"/>
      <w:pStyle w:val="30"/>
      <w:suff w:val="nothing"/>
      <w:lvlText w:val="%1%2.%3.%4.%5.%6.%7　"/>
      <w:lvlJc w:val="left"/>
      <w:pPr>
        <w:ind w:left="0" w:firstLine="0"/>
      </w:pPr>
      <w:rPr>
        <w:rFonts w:hint="eastAsia" w:ascii="黑体"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17">
    <w:nsid w:val="6F67048E"/>
    <w:multiLevelType w:val="multilevel"/>
    <w:tmpl w:val="6F67048E"/>
    <w:lvl w:ilvl="0" w:tentative="0">
      <w:start w:val="1"/>
      <w:numFmt w:val="lowerLetter"/>
      <w:lvlText w:val="%1)"/>
      <w:lvlJc w:val="left"/>
      <w:pPr>
        <w:ind w:left="980" w:hanging="420"/>
      </w:pPr>
      <w:rPr>
        <w:rFonts w:hint="eastAsia" w:eastAsia="宋体"/>
        <w:sz w:val="28"/>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8">
    <w:nsid w:val="71BA3C02"/>
    <w:multiLevelType w:val="multilevel"/>
    <w:tmpl w:val="71BA3C02"/>
    <w:lvl w:ilvl="0" w:tentative="0">
      <w:start w:val="1"/>
      <w:numFmt w:val="decimal"/>
      <w:pStyle w:val="2"/>
      <w:suff w:val="space"/>
      <w:lvlText w:val="%1"/>
      <w:lvlJc w:val="left"/>
      <w:pPr>
        <w:ind w:left="425" w:hanging="425"/>
      </w:pPr>
      <w:rPr>
        <w:rFonts w:hint="eastAsia"/>
      </w:rPr>
    </w:lvl>
    <w:lvl w:ilvl="1" w:tentative="0">
      <w:start w:val="1"/>
      <w:numFmt w:val="decimal"/>
      <w:pStyle w:val="3"/>
      <w:suff w:val="space"/>
      <w:lvlText w:val="%1.%2"/>
      <w:lvlJc w:val="left"/>
      <w:pPr>
        <w:ind w:left="992" w:hanging="992"/>
      </w:pPr>
      <w:rPr>
        <w:rFonts w:hint="eastAsia"/>
      </w:rPr>
    </w:lvl>
    <w:lvl w:ilvl="2" w:tentative="0">
      <w:start w:val="1"/>
      <w:numFmt w:val="decimal"/>
      <w:pStyle w:val="4"/>
      <w:suff w:val="space"/>
      <w:lvlText w:val="%1.%2.%3"/>
      <w:lvlJc w:val="left"/>
      <w:pPr>
        <w:ind w:left="1418" w:hanging="1418"/>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9">
    <w:nsid w:val="7995187F"/>
    <w:multiLevelType w:val="multilevel"/>
    <w:tmpl w:val="7995187F"/>
    <w:lvl w:ilvl="0" w:tentative="0">
      <w:start w:val="1"/>
      <w:numFmt w:val="lowerLetter"/>
      <w:lvlText w:val="%1)"/>
      <w:lvlJc w:val="left"/>
      <w:pPr>
        <w:tabs>
          <w:tab w:val="left" w:pos="720"/>
        </w:tabs>
        <w:ind w:left="720" w:hanging="360"/>
      </w:pPr>
      <w:rPr>
        <w:rFonts w:hint="default"/>
        <w:sz w:val="28"/>
        <w:szCs w:val="28"/>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20">
    <w:nsid w:val="7AFE3B07"/>
    <w:multiLevelType w:val="multilevel"/>
    <w:tmpl w:val="7AFE3B07"/>
    <w:lvl w:ilvl="0" w:tentative="0">
      <w:start w:val="1"/>
      <w:numFmt w:val="lowerLetter"/>
      <w:lvlText w:val="%1)"/>
      <w:lvlJc w:val="left"/>
      <w:pPr>
        <w:ind w:left="980" w:hanging="420"/>
      </w:pPr>
      <w:rPr>
        <w:rFonts w:hint="eastAsia" w:eastAsia="宋体"/>
        <w:sz w:val="28"/>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1">
    <w:nsid w:val="7B7F00FE"/>
    <w:multiLevelType w:val="multilevel"/>
    <w:tmpl w:val="7B7F00FE"/>
    <w:lvl w:ilvl="0" w:tentative="0">
      <w:start w:val="1"/>
      <w:numFmt w:val="lowerLetter"/>
      <w:lvlText w:val="%1)"/>
      <w:lvlJc w:val="left"/>
      <w:pPr>
        <w:ind w:left="420" w:hanging="420"/>
      </w:pPr>
      <w:rPr>
        <w:rFonts w:hint="eastAsia" w:eastAsia="宋体"/>
        <w:sz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7D311DE0"/>
    <w:multiLevelType w:val="multilevel"/>
    <w:tmpl w:val="7D311DE0"/>
    <w:lvl w:ilvl="0" w:tentative="0">
      <w:start w:val="1"/>
      <w:numFmt w:val="lowerLetter"/>
      <w:lvlText w:val="%1)"/>
      <w:lvlJc w:val="left"/>
      <w:pPr>
        <w:tabs>
          <w:tab w:val="left" w:pos="720"/>
        </w:tabs>
        <w:ind w:left="720" w:hanging="360"/>
      </w:pPr>
      <w:rPr>
        <w:rFonts w:hint="default"/>
        <w:sz w:val="28"/>
        <w:szCs w:val="28"/>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num w:numId="1">
    <w:abstractNumId w:val="18"/>
  </w:num>
  <w:num w:numId="2">
    <w:abstractNumId w:val="16"/>
  </w:num>
  <w:num w:numId="3">
    <w:abstractNumId w:val="10"/>
  </w:num>
  <w:num w:numId="4">
    <w:abstractNumId w:val="2"/>
  </w:num>
  <w:num w:numId="5">
    <w:abstractNumId w:val="21"/>
  </w:num>
  <w:num w:numId="6">
    <w:abstractNumId w:val="15"/>
  </w:num>
  <w:num w:numId="7">
    <w:abstractNumId w:val="0"/>
  </w:num>
  <w:num w:numId="8">
    <w:abstractNumId w:val="1"/>
  </w:num>
  <w:num w:numId="9">
    <w:abstractNumId w:val="6"/>
  </w:num>
  <w:num w:numId="10">
    <w:abstractNumId w:val="4"/>
  </w:num>
  <w:num w:numId="11">
    <w:abstractNumId w:val="5"/>
  </w:num>
  <w:num w:numId="12">
    <w:abstractNumId w:val="22"/>
  </w:num>
  <w:num w:numId="13">
    <w:abstractNumId w:val="14"/>
  </w:num>
  <w:num w:numId="14">
    <w:abstractNumId w:val="19"/>
  </w:num>
  <w:num w:numId="15">
    <w:abstractNumId w:val="8"/>
  </w:num>
  <w:num w:numId="16">
    <w:abstractNumId w:val="11"/>
  </w:num>
  <w:num w:numId="17">
    <w:abstractNumId w:val="17"/>
  </w:num>
  <w:num w:numId="18">
    <w:abstractNumId w:val="13"/>
  </w:num>
  <w:num w:numId="19">
    <w:abstractNumId w:val="9"/>
  </w:num>
  <w:num w:numId="20">
    <w:abstractNumId w:val="12"/>
  </w:num>
  <w:num w:numId="21">
    <w:abstractNumId w:val="20"/>
  </w:num>
  <w:num w:numId="22">
    <w:abstractNumId w:val="3"/>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HorizontalSpacing w:val="140"/>
  <w:drawingGridVerticalSpacing w:val="381"/>
  <w:displayHorizontalDrawingGridEvery w:val="0"/>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lmYjdjYTIwOGViZWNjYmQ5NDBkN2ZjNTlkYjg2MTIifQ=="/>
  </w:docVars>
  <w:rsids>
    <w:rsidRoot w:val="00EC4699"/>
    <w:rsid w:val="00001920"/>
    <w:rsid w:val="00006918"/>
    <w:rsid w:val="00007620"/>
    <w:rsid w:val="00010899"/>
    <w:rsid w:val="00011608"/>
    <w:rsid w:val="00012A30"/>
    <w:rsid w:val="00013986"/>
    <w:rsid w:val="00017641"/>
    <w:rsid w:val="00020198"/>
    <w:rsid w:val="00021F7F"/>
    <w:rsid w:val="000230D6"/>
    <w:rsid w:val="00023E9D"/>
    <w:rsid w:val="00024A18"/>
    <w:rsid w:val="00025EA9"/>
    <w:rsid w:val="00030D83"/>
    <w:rsid w:val="00032F96"/>
    <w:rsid w:val="0003400E"/>
    <w:rsid w:val="000376AE"/>
    <w:rsid w:val="00037928"/>
    <w:rsid w:val="00040BD0"/>
    <w:rsid w:val="00040CC5"/>
    <w:rsid w:val="000410A9"/>
    <w:rsid w:val="000428CE"/>
    <w:rsid w:val="000438A3"/>
    <w:rsid w:val="00046F13"/>
    <w:rsid w:val="00047407"/>
    <w:rsid w:val="0005045B"/>
    <w:rsid w:val="00052885"/>
    <w:rsid w:val="000542C9"/>
    <w:rsid w:val="00060ED0"/>
    <w:rsid w:val="0006313B"/>
    <w:rsid w:val="0006540B"/>
    <w:rsid w:val="00070E95"/>
    <w:rsid w:val="00073708"/>
    <w:rsid w:val="000747CF"/>
    <w:rsid w:val="000757B5"/>
    <w:rsid w:val="0007778E"/>
    <w:rsid w:val="00082CFB"/>
    <w:rsid w:val="00086EE2"/>
    <w:rsid w:val="000918B2"/>
    <w:rsid w:val="00091F23"/>
    <w:rsid w:val="0009264E"/>
    <w:rsid w:val="00092D14"/>
    <w:rsid w:val="000A50A0"/>
    <w:rsid w:val="000A5A6E"/>
    <w:rsid w:val="000B1186"/>
    <w:rsid w:val="000B45CB"/>
    <w:rsid w:val="000B55BE"/>
    <w:rsid w:val="000C31F8"/>
    <w:rsid w:val="000C3B99"/>
    <w:rsid w:val="000C40ED"/>
    <w:rsid w:val="000C454F"/>
    <w:rsid w:val="000C627A"/>
    <w:rsid w:val="000D529C"/>
    <w:rsid w:val="000E06AF"/>
    <w:rsid w:val="000E3CF7"/>
    <w:rsid w:val="000E47FF"/>
    <w:rsid w:val="000F145A"/>
    <w:rsid w:val="000F173E"/>
    <w:rsid w:val="000F1C0B"/>
    <w:rsid w:val="000F3A04"/>
    <w:rsid w:val="0010046E"/>
    <w:rsid w:val="00100B0D"/>
    <w:rsid w:val="00101764"/>
    <w:rsid w:val="00105B53"/>
    <w:rsid w:val="0010649B"/>
    <w:rsid w:val="001069DF"/>
    <w:rsid w:val="001073AC"/>
    <w:rsid w:val="00107883"/>
    <w:rsid w:val="001136D7"/>
    <w:rsid w:val="001151BE"/>
    <w:rsid w:val="001151C2"/>
    <w:rsid w:val="00117B70"/>
    <w:rsid w:val="001202B7"/>
    <w:rsid w:val="001207AE"/>
    <w:rsid w:val="00122419"/>
    <w:rsid w:val="0012438A"/>
    <w:rsid w:val="00126445"/>
    <w:rsid w:val="00130A38"/>
    <w:rsid w:val="0013261E"/>
    <w:rsid w:val="00134826"/>
    <w:rsid w:val="001404DD"/>
    <w:rsid w:val="00141341"/>
    <w:rsid w:val="001421EE"/>
    <w:rsid w:val="00153D61"/>
    <w:rsid w:val="0016294A"/>
    <w:rsid w:val="00163CF8"/>
    <w:rsid w:val="0016732B"/>
    <w:rsid w:val="00172215"/>
    <w:rsid w:val="00173425"/>
    <w:rsid w:val="00174315"/>
    <w:rsid w:val="00176E8D"/>
    <w:rsid w:val="0017748F"/>
    <w:rsid w:val="00180F1D"/>
    <w:rsid w:val="00182A5D"/>
    <w:rsid w:val="00182B03"/>
    <w:rsid w:val="00185DFF"/>
    <w:rsid w:val="00186C17"/>
    <w:rsid w:val="001871B0"/>
    <w:rsid w:val="00187422"/>
    <w:rsid w:val="0019446C"/>
    <w:rsid w:val="001961FE"/>
    <w:rsid w:val="001964A6"/>
    <w:rsid w:val="00197306"/>
    <w:rsid w:val="00197CD7"/>
    <w:rsid w:val="001A4E39"/>
    <w:rsid w:val="001A731D"/>
    <w:rsid w:val="001A7C73"/>
    <w:rsid w:val="001B0C8D"/>
    <w:rsid w:val="001B25EE"/>
    <w:rsid w:val="001B3A81"/>
    <w:rsid w:val="001C07B7"/>
    <w:rsid w:val="001C0B26"/>
    <w:rsid w:val="001C57CA"/>
    <w:rsid w:val="001C57DE"/>
    <w:rsid w:val="001C5C41"/>
    <w:rsid w:val="001C6CF0"/>
    <w:rsid w:val="001C7103"/>
    <w:rsid w:val="001D18CA"/>
    <w:rsid w:val="001D3EF3"/>
    <w:rsid w:val="001E0B3B"/>
    <w:rsid w:val="001E16EC"/>
    <w:rsid w:val="001E23D2"/>
    <w:rsid w:val="001E76DB"/>
    <w:rsid w:val="001F401D"/>
    <w:rsid w:val="001F7348"/>
    <w:rsid w:val="00201E11"/>
    <w:rsid w:val="00205A16"/>
    <w:rsid w:val="00205A32"/>
    <w:rsid w:val="00210F56"/>
    <w:rsid w:val="002140A0"/>
    <w:rsid w:val="0021757C"/>
    <w:rsid w:val="00226044"/>
    <w:rsid w:val="0023075D"/>
    <w:rsid w:val="0023102C"/>
    <w:rsid w:val="00241C00"/>
    <w:rsid w:val="002421C9"/>
    <w:rsid w:val="00246284"/>
    <w:rsid w:val="00250347"/>
    <w:rsid w:val="00250BC9"/>
    <w:rsid w:val="00251957"/>
    <w:rsid w:val="00251EE5"/>
    <w:rsid w:val="00252465"/>
    <w:rsid w:val="002545CD"/>
    <w:rsid w:val="00255FA6"/>
    <w:rsid w:val="00260643"/>
    <w:rsid w:val="00260B4A"/>
    <w:rsid w:val="00262668"/>
    <w:rsid w:val="00262DD0"/>
    <w:rsid w:val="00263D65"/>
    <w:rsid w:val="00265328"/>
    <w:rsid w:val="0026742E"/>
    <w:rsid w:val="002723A2"/>
    <w:rsid w:val="00272F42"/>
    <w:rsid w:val="002740D5"/>
    <w:rsid w:val="00275453"/>
    <w:rsid w:val="00275EFC"/>
    <w:rsid w:val="00276520"/>
    <w:rsid w:val="0028230B"/>
    <w:rsid w:val="002831D2"/>
    <w:rsid w:val="002834C2"/>
    <w:rsid w:val="00283E41"/>
    <w:rsid w:val="00285BD2"/>
    <w:rsid w:val="00292814"/>
    <w:rsid w:val="00292A4B"/>
    <w:rsid w:val="002944AA"/>
    <w:rsid w:val="00294F49"/>
    <w:rsid w:val="002951DD"/>
    <w:rsid w:val="00295D26"/>
    <w:rsid w:val="002966F5"/>
    <w:rsid w:val="002975E1"/>
    <w:rsid w:val="002A173F"/>
    <w:rsid w:val="002A7B7F"/>
    <w:rsid w:val="002B20DC"/>
    <w:rsid w:val="002B6D58"/>
    <w:rsid w:val="002B73FB"/>
    <w:rsid w:val="002C232F"/>
    <w:rsid w:val="002C2DF9"/>
    <w:rsid w:val="002C4C56"/>
    <w:rsid w:val="002C4CB6"/>
    <w:rsid w:val="002C549A"/>
    <w:rsid w:val="002C58BE"/>
    <w:rsid w:val="002C7B75"/>
    <w:rsid w:val="002C7C4B"/>
    <w:rsid w:val="002D5DAA"/>
    <w:rsid w:val="002E0B4C"/>
    <w:rsid w:val="002E12B0"/>
    <w:rsid w:val="002E6B03"/>
    <w:rsid w:val="002E757D"/>
    <w:rsid w:val="002F4ED0"/>
    <w:rsid w:val="002F5A8B"/>
    <w:rsid w:val="002F682A"/>
    <w:rsid w:val="002F68D6"/>
    <w:rsid w:val="00301CA3"/>
    <w:rsid w:val="0030408A"/>
    <w:rsid w:val="00305329"/>
    <w:rsid w:val="00306739"/>
    <w:rsid w:val="00307828"/>
    <w:rsid w:val="00311E1C"/>
    <w:rsid w:val="00313CD1"/>
    <w:rsid w:val="00314788"/>
    <w:rsid w:val="0031702A"/>
    <w:rsid w:val="00317703"/>
    <w:rsid w:val="003202F9"/>
    <w:rsid w:val="00322BC3"/>
    <w:rsid w:val="0032316E"/>
    <w:rsid w:val="003243D5"/>
    <w:rsid w:val="00327C2D"/>
    <w:rsid w:val="003323A6"/>
    <w:rsid w:val="00333442"/>
    <w:rsid w:val="00333D1E"/>
    <w:rsid w:val="003340EF"/>
    <w:rsid w:val="003348E1"/>
    <w:rsid w:val="00335E2E"/>
    <w:rsid w:val="00337BA9"/>
    <w:rsid w:val="003425E9"/>
    <w:rsid w:val="00342867"/>
    <w:rsid w:val="0034303F"/>
    <w:rsid w:val="00343EBF"/>
    <w:rsid w:val="003441AA"/>
    <w:rsid w:val="003448D3"/>
    <w:rsid w:val="00345123"/>
    <w:rsid w:val="00347B90"/>
    <w:rsid w:val="00347CE0"/>
    <w:rsid w:val="00351F60"/>
    <w:rsid w:val="003547CD"/>
    <w:rsid w:val="0035679E"/>
    <w:rsid w:val="00360686"/>
    <w:rsid w:val="00360EA5"/>
    <w:rsid w:val="003625C5"/>
    <w:rsid w:val="00362632"/>
    <w:rsid w:val="0037078A"/>
    <w:rsid w:val="00371967"/>
    <w:rsid w:val="00373BA9"/>
    <w:rsid w:val="003749C8"/>
    <w:rsid w:val="00385DEA"/>
    <w:rsid w:val="0038679C"/>
    <w:rsid w:val="00392CBE"/>
    <w:rsid w:val="003956C3"/>
    <w:rsid w:val="00396045"/>
    <w:rsid w:val="003A4F3B"/>
    <w:rsid w:val="003A756B"/>
    <w:rsid w:val="003B3449"/>
    <w:rsid w:val="003C18B4"/>
    <w:rsid w:val="003C2014"/>
    <w:rsid w:val="003C3B7A"/>
    <w:rsid w:val="003C5344"/>
    <w:rsid w:val="003C6BA5"/>
    <w:rsid w:val="003D014E"/>
    <w:rsid w:val="003D2478"/>
    <w:rsid w:val="003D2DCF"/>
    <w:rsid w:val="003D4218"/>
    <w:rsid w:val="003D46C3"/>
    <w:rsid w:val="003E03D3"/>
    <w:rsid w:val="003E3902"/>
    <w:rsid w:val="003E592C"/>
    <w:rsid w:val="003E6E5A"/>
    <w:rsid w:val="003F2805"/>
    <w:rsid w:val="003F3919"/>
    <w:rsid w:val="003F758A"/>
    <w:rsid w:val="00402DAB"/>
    <w:rsid w:val="0040411C"/>
    <w:rsid w:val="0040463F"/>
    <w:rsid w:val="00406874"/>
    <w:rsid w:val="00406FC4"/>
    <w:rsid w:val="00411339"/>
    <w:rsid w:val="00411AAA"/>
    <w:rsid w:val="00412EBE"/>
    <w:rsid w:val="004139D9"/>
    <w:rsid w:val="004146E1"/>
    <w:rsid w:val="00414F43"/>
    <w:rsid w:val="0041608C"/>
    <w:rsid w:val="00416CB0"/>
    <w:rsid w:val="004227E1"/>
    <w:rsid w:val="004257C3"/>
    <w:rsid w:val="00430825"/>
    <w:rsid w:val="0043086F"/>
    <w:rsid w:val="00430953"/>
    <w:rsid w:val="004324E0"/>
    <w:rsid w:val="00432650"/>
    <w:rsid w:val="004403CD"/>
    <w:rsid w:val="00443341"/>
    <w:rsid w:val="00444917"/>
    <w:rsid w:val="0045250A"/>
    <w:rsid w:val="00452FA0"/>
    <w:rsid w:val="0045361A"/>
    <w:rsid w:val="00453A0C"/>
    <w:rsid w:val="00454588"/>
    <w:rsid w:val="00456AC1"/>
    <w:rsid w:val="004618C9"/>
    <w:rsid w:val="00465F78"/>
    <w:rsid w:val="00474FDD"/>
    <w:rsid w:val="00475B6B"/>
    <w:rsid w:val="0047620F"/>
    <w:rsid w:val="00484E1B"/>
    <w:rsid w:val="004851C9"/>
    <w:rsid w:val="0048531D"/>
    <w:rsid w:val="00486AEF"/>
    <w:rsid w:val="004934AB"/>
    <w:rsid w:val="00494506"/>
    <w:rsid w:val="004A1928"/>
    <w:rsid w:val="004B0692"/>
    <w:rsid w:val="004B07A0"/>
    <w:rsid w:val="004B2F3E"/>
    <w:rsid w:val="004B462B"/>
    <w:rsid w:val="004B46F3"/>
    <w:rsid w:val="004B56EE"/>
    <w:rsid w:val="004B61D5"/>
    <w:rsid w:val="004B643F"/>
    <w:rsid w:val="004B699D"/>
    <w:rsid w:val="004B785A"/>
    <w:rsid w:val="004B79BA"/>
    <w:rsid w:val="004C1541"/>
    <w:rsid w:val="004C26D5"/>
    <w:rsid w:val="004C3AB7"/>
    <w:rsid w:val="004C3DFF"/>
    <w:rsid w:val="004C64FE"/>
    <w:rsid w:val="004C7824"/>
    <w:rsid w:val="004D107E"/>
    <w:rsid w:val="004D7FB8"/>
    <w:rsid w:val="004F4307"/>
    <w:rsid w:val="004F5F37"/>
    <w:rsid w:val="00500304"/>
    <w:rsid w:val="005055BB"/>
    <w:rsid w:val="00507538"/>
    <w:rsid w:val="005106F6"/>
    <w:rsid w:val="00510D0D"/>
    <w:rsid w:val="00517849"/>
    <w:rsid w:val="00520F10"/>
    <w:rsid w:val="00523E23"/>
    <w:rsid w:val="00525EDA"/>
    <w:rsid w:val="005267F3"/>
    <w:rsid w:val="00531528"/>
    <w:rsid w:val="00532446"/>
    <w:rsid w:val="00533118"/>
    <w:rsid w:val="00533A4F"/>
    <w:rsid w:val="00535C2D"/>
    <w:rsid w:val="00535EC0"/>
    <w:rsid w:val="005405DD"/>
    <w:rsid w:val="005406DD"/>
    <w:rsid w:val="00542309"/>
    <w:rsid w:val="00542EA2"/>
    <w:rsid w:val="00544197"/>
    <w:rsid w:val="00544CEA"/>
    <w:rsid w:val="00545CF3"/>
    <w:rsid w:val="005479C8"/>
    <w:rsid w:val="00547AFA"/>
    <w:rsid w:val="00551B61"/>
    <w:rsid w:val="005543A8"/>
    <w:rsid w:val="00562114"/>
    <w:rsid w:val="00562C03"/>
    <w:rsid w:val="00564518"/>
    <w:rsid w:val="00571C4C"/>
    <w:rsid w:val="00572423"/>
    <w:rsid w:val="005735F9"/>
    <w:rsid w:val="00573A9B"/>
    <w:rsid w:val="00581614"/>
    <w:rsid w:val="0058306B"/>
    <w:rsid w:val="00587C59"/>
    <w:rsid w:val="0059266E"/>
    <w:rsid w:val="005948C9"/>
    <w:rsid w:val="005974A5"/>
    <w:rsid w:val="005A28F8"/>
    <w:rsid w:val="005A6669"/>
    <w:rsid w:val="005A6D85"/>
    <w:rsid w:val="005B1B79"/>
    <w:rsid w:val="005B5880"/>
    <w:rsid w:val="005B5BCE"/>
    <w:rsid w:val="005B5CAA"/>
    <w:rsid w:val="005C13AE"/>
    <w:rsid w:val="005C3643"/>
    <w:rsid w:val="005C602C"/>
    <w:rsid w:val="005C6749"/>
    <w:rsid w:val="005C76B8"/>
    <w:rsid w:val="005C7A42"/>
    <w:rsid w:val="005D19AB"/>
    <w:rsid w:val="005D1E48"/>
    <w:rsid w:val="005D4F4E"/>
    <w:rsid w:val="005D5FE7"/>
    <w:rsid w:val="005D63F8"/>
    <w:rsid w:val="005D7388"/>
    <w:rsid w:val="005E1C93"/>
    <w:rsid w:val="005E3389"/>
    <w:rsid w:val="005E5169"/>
    <w:rsid w:val="005E77ED"/>
    <w:rsid w:val="005F4B23"/>
    <w:rsid w:val="005F6815"/>
    <w:rsid w:val="0060052A"/>
    <w:rsid w:val="006010B1"/>
    <w:rsid w:val="006031AD"/>
    <w:rsid w:val="006123E1"/>
    <w:rsid w:val="006152C3"/>
    <w:rsid w:val="00617B9D"/>
    <w:rsid w:val="006300C4"/>
    <w:rsid w:val="006322C1"/>
    <w:rsid w:val="00633947"/>
    <w:rsid w:val="0063611F"/>
    <w:rsid w:val="00636FF4"/>
    <w:rsid w:val="00641529"/>
    <w:rsid w:val="00645A36"/>
    <w:rsid w:val="006527B7"/>
    <w:rsid w:val="00652B04"/>
    <w:rsid w:val="006540E2"/>
    <w:rsid w:val="0066517D"/>
    <w:rsid w:val="0066786B"/>
    <w:rsid w:val="0067098B"/>
    <w:rsid w:val="00672F0A"/>
    <w:rsid w:val="0067621E"/>
    <w:rsid w:val="00683553"/>
    <w:rsid w:val="00685204"/>
    <w:rsid w:val="00685269"/>
    <w:rsid w:val="00685D77"/>
    <w:rsid w:val="006868CD"/>
    <w:rsid w:val="00693299"/>
    <w:rsid w:val="00694200"/>
    <w:rsid w:val="0069610A"/>
    <w:rsid w:val="006A1456"/>
    <w:rsid w:val="006A186C"/>
    <w:rsid w:val="006B04FC"/>
    <w:rsid w:val="006B1A49"/>
    <w:rsid w:val="006B1A58"/>
    <w:rsid w:val="006B2771"/>
    <w:rsid w:val="006B5A53"/>
    <w:rsid w:val="006C0079"/>
    <w:rsid w:val="006C167A"/>
    <w:rsid w:val="006C373A"/>
    <w:rsid w:val="006C3A67"/>
    <w:rsid w:val="006C5C38"/>
    <w:rsid w:val="006C6B85"/>
    <w:rsid w:val="006D1ADA"/>
    <w:rsid w:val="006E3C47"/>
    <w:rsid w:val="006E55C1"/>
    <w:rsid w:val="006E6915"/>
    <w:rsid w:val="006F7113"/>
    <w:rsid w:val="007007D0"/>
    <w:rsid w:val="007016C9"/>
    <w:rsid w:val="00705876"/>
    <w:rsid w:val="007120AB"/>
    <w:rsid w:val="00712282"/>
    <w:rsid w:val="007146AB"/>
    <w:rsid w:val="0071498D"/>
    <w:rsid w:val="00715468"/>
    <w:rsid w:val="00717834"/>
    <w:rsid w:val="00721064"/>
    <w:rsid w:val="0072412A"/>
    <w:rsid w:val="00724B94"/>
    <w:rsid w:val="00726B8C"/>
    <w:rsid w:val="007276C3"/>
    <w:rsid w:val="007312A9"/>
    <w:rsid w:val="0073363A"/>
    <w:rsid w:val="00742CC5"/>
    <w:rsid w:val="00743077"/>
    <w:rsid w:val="00744E58"/>
    <w:rsid w:val="007457FA"/>
    <w:rsid w:val="007528A2"/>
    <w:rsid w:val="00755BAD"/>
    <w:rsid w:val="00757BFF"/>
    <w:rsid w:val="00766241"/>
    <w:rsid w:val="00766324"/>
    <w:rsid w:val="00766543"/>
    <w:rsid w:val="00766822"/>
    <w:rsid w:val="00772D4D"/>
    <w:rsid w:val="00773C86"/>
    <w:rsid w:val="00774EBA"/>
    <w:rsid w:val="00780FD6"/>
    <w:rsid w:val="0078630C"/>
    <w:rsid w:val="00787374"/>
    <w:rsid w:val="00790CC7"/>
    <w:rsid w:val="00793199"/>
    <w:rsid w:val="007A01C8"/>
    <w:rsid w:val="007A225A"/>
    <w:rsid w:val="007A2467"/>
    <w:rsid w:val="007B06CC"/>
    <w:rsid w:val="007B45C4"/>
    <w:rsid w:val="007B5686"/>
    <w:rsid w:val="007B5EC5"/>
    <w:rsid w:val="007C033E"/>
    <w:rsid w:val="007C049F"/>
    <w:rsid w:val="007C0C66"/>
    <w:rsid w:val="007C0DDE"/>
    <w:rsid w:val="007C168E"/>
    <w:rsid w:val="007C21C9"/>
    <w:rsid w:val="007C2BA8"/>
    <w:rsid w:val="007C3C70"/>
    <w:rsid w:val="007C4536"/>
    <w:rsid w:val="007D029C"/>
    <w:rsid w:val="007D3E22"/>
    <w:rsid w:val="007D5EBF"/>
    <w:rsid w:val="007D6CF1"/>
    <w:rsid w:val="007E3E58"/>
    <w:rsid w:val="007E5A83"/>
    <w:rsid w:val="007E5AE8"/>
    <w:rsid w:val="007E7022"/>
    <w:rsid w:val="007F18DA"/>
    <w:rsid w:val="007F1962"/>
    <w:rsid w:val="007F3E86"/>
    <w:rsid w:val="007F47D5"/>
    <w:rsid w:val="007F6281"/>
    <w:rsid w:val="00802DB0"/>
    <w:rsid w:val="008048C2"/>
    <w:rsid w:val="00807587"/>
    <w:rsid w:val="00810222"/>
    <w:rsid w:val="00810778"/>
    <w:rsid w:val="00810DBE"/>
    <w:rsid w:val="00817DF1"/>
    <w:rsid w:val="00817F3E"/>
    <w:rsid w:val="00817F5C"/>
    <w:rsid w:val="00824B91"/>
    <w:rsid w:val="008257C2"/>
    <w:rsid w:val="008327A9"/>
    <w:rsid w:val="008376D9"/>
    <w:rsid w:val="00840B7F"/>
    <w:rsid w:val="008440C7"/>
    <w:rsid w:val="00854203"/>
    <w:rsid w:val="00856C29"/>
    <w:rsid w:val="008655E9"/>
    <w:rsid w:val="00865F47"/>
    <w:rsid w:val="008675F3"/>
    <w:rsid w:val="008703B8"/>
    <w:rsid w:val="00874928"/>
    <w:rsid w:val="00876BA5"/>
    <w:rsid w:val="00876F01"/>
    <w:rsid w:val="00882C56"/>
    <w:rsid w:val="00883A0B"/>
    <w:rsid w:val="00885FD2"/>
    <w:rsid w:val="008904B7"/>
    <w:rsid w:val="00893BC5"/>
    <w:rsid w:val="008957EB"/>
    <w:rsid w:val="00897EEA"/>
    <w:rsid w:val="008A3366"/>
    <w:rsid w:val="008A7315"/>
    <w:rsid w:val="008A7444"/>
    <w:rsid w:val="008B68B7"/>
    <w:rsid w:val="008B7883"/>
    <w:rsid w:val="008C30E3"/>
    <w:rsid w:val="008C72D0"/>
    <w:rsid w:val="008C7EC3"/>
    <w:rsid w:val="008D217D"/>
    <w:rsid w:val="008D363A"/>
    <w:rsid w:val="008D3827"/>
    <w:rsid w:val="008D38B0"/>
    <w:rsid w:val="008D39E7"/>
    <w:rsid w:val="008D41BD"/>
    <w:rsid w:val="008D54CB"/>
    <w:rsid w:val="008E3574"/>
    <w:rsid w:val="008E4918"/>
    <w:rsid w:val="008E5A0B"/>
    <w:rsid w:val="008E7C17"/>
    <w:rsid w:val="008F0D6D"/>
    <w:rsid w:val="008F3538"/>
    <w:rsid w:val="008F3601"/>
    <w:rsid w:val="0090320D"/>
    <w:rsid w:val="00903F84"/>
    <w:rsid w:val="00905AF3"/>
    <w:rsid w:val="00911F59"/>
    <w:rsid w:val="009137E4"/>
    <w:rsid w:val="0092038B"/>
    <w:rsid w:val="009230CF"/>
    <w:rsid w:val="00923152"/>
    <w:rsid w:val="00923FA8"/>
    <w:rsid w:val="009269DB"/>
    <w:rsid w:val="009343F9"/>
    <w:rsid w:val="00942E16"/>
    <w:rsid w:val="009456C8"/>
    <w:rsid w:val="00953184"/>
    <w:rsid w:val="00954CFD"/>
    <w:rsid w:val="009618A8"/>
    <w:rsid w:val="0096262D"/>
    <w:rsid w:val="009647F7"/>
    <w:rsid w:val="009700AC"/>
    <w:rsid w:val="0097093B"/>
    <w:rsid w:val="0097634D"/>
    <w:rsid w:val="0098002A"/>
    <w:rsid w:val="0098575D"/>
    <w:rsid w:val="00993743"/>
    <w:rsid w:val="00993C7C"/>
    <w:rsid w:val="009A024C"/>
    <w:rsid w:val="009A07E4"/>
    <w:rsid w:val="009A0CAA"/>
    <w:rsid w:val="009A1D0C"/>
    <w:rsid w:val="009A229E"/>
    <w:rsid w:val="009A2C28"/>
    <w:rsid w:val="009A4AB1"/>
    <w:rsid w:val="009B39A9"/>
    <w:rsid w:val="009B5DCF"/>
    <w:rsid w:val="009C219E"/>
    <w:rsid w:val="009C4AFE"/>
    <w:rsid w:val="009C5EE4"/>
    <w:rsid w:val="009D025D"/>
    <w:rsid w:val="009D1F3B"/>
    <w:rsid w:val="009D37E8"/>
    <w:rsid w:val="009D5B11"/>
    <w:rsid w:val="009E2180"/>
    <w:rsid w:val="009E2FA1"/>
    <w:rsid w:val="009E3FE4"/>
    <w:rsid w:val="009E69DE"/>
    <w:rsid w:val="009F1A64"/>
    <w:rsid w:val="009F720C"/>
    <w:rsid w:val="009F7BE4"/>
    <w:rsid w:val="00A00631"/>
    <w:rsid w:val="00A02A6A"/>
    <w:rsid w:val="00A03E1C"/>
    <w:rsid w:val="00A0492F"/>
    <w:rsid w:val="00A06A16"/>
    <w:rsid w:val="00A12E88"/>
    <w:rsid w:val="00A14E5D"/>
    <w:rsid w:val="00A15EFE"/>
    <w:rsid w:val="00A164F0"/>
    <w:rsid w:val="00A225DC"/>
    <w:rsid w:val="00A236E2"/>
    <w:rsid w:val="00A239C3"/>
    <w:rsid w:val="00A25735"/>
    <w:rsid w:val="00A25D7B"/>
    <w:rsid w:val="00A260C1"/>
    <w:rsid w:val="00A26AF1"/>
    <w:rsid w:val="00A26D4F"/>
    <w:rsid w:val="00A27CE3"/>
    <w:rsid w:val="00A30F13"/>
    <w:rsid w:val="00A35557"/>
    <w:rsid w:val="00A362EA"/>
    <w:rsid w:val="00A378CD"/>
    <w:rsid w:val="00A40E82"/>
    <w:rsid w:val="00A42CAB"/>
    <w:rsid w:val="00A42EBF"/>
    <w:rsid w:val="00A45C74"/>
    <w:rsid w:val="00A46819"/>
    <w:rsid w:val="00A47FFB"/>
    <w:rsid w:val="00A51B3A"/>
    <w:rsid w:val="00A52414"/>
    <w:rsid w:val="00A62905"/>
    <w:rsid w:val="00A64A90"/>
    <w:rsid w:val="00A66966"/>
    <w:rsid w:val="00A66D05"/>
    <w:rsid w:val="00A710D9"/>
    <w:rsid w:val="00A715BF"/>
    <w:rsid w:val="00A7674E"/>
    <w:rsid w:val="00A768D2"/>
    <w:rsid w:val="00A77A0B"/>
    <w:rsid w:val="00A822F1"/>
    <w:rsid w:val="00A86EF3"/>
    <w:rsid w:val="00AA0509"/>
    <w:rsid w:val="00AA11D7"/>
    <w:rsid w:val="00AA14EB"/>
    <w:rsid w:val="00AA37FF"/>
    <w:rsid w:val="00AA4B51"/>
    <w:rsid w:val="00AA7C82"/>
    <w:rsid w:val="00AB13B9"/>
    <w:rsid w:val="00AB21BF"/>
    <w:rsid w:val="00AB3819"/>
    <w:rsid w:val="00AC506A"/>
    <w:rsid w:val="00AD665E"/>
    <w:rsid w:val="00AD7F62"/>
    <w:rsid w:val="00AE0DA5"/>
    <w:rsid w:val="00AE1159"/>
    <w:rsid w:val="00AE19BE"/>
    <w:rsid w:val="00AE2F38"/>
    <w:rsid w:val="00AE3D66"/>
    <w:rsid w:val="00AE4293"/>
    <w:rsid w:val="00AE5C24"/>
    <w:rsid w:val="00AE5E74"/>
    <w:rsid w:val="00AE6520"/>
    <w:rsid w:val="00AF3D1B"/>
    <w:rsid w:val="00AF570A"/>
    <w:rsid w:val="00AF588A"/>
    <w:rsid w:val="00AF5B45"/>
    <w:rsid w:val="00AF7C26"/>
    <w:rsid w:val="00B00362"/>
    <w:rsid w:val="00B003BA"/>
    <w:rsid w:val="00B01B82"/>
    <w:rsid w:val="00B07BFB"/>
    <w:rsid w:val="00B10393"/>
    <w:rsid w:val="00B10825"/>
    <w:rsid w:val="00B11BC7"/>
    <w:rsid w:val="00B12035"/>
    <w:rsid w:val="00B121E7"/>
    <w:rsid w:val="00B12439"/>
    <w:rsid w:val="00B1349F"/>
    <w:rsid w:val="00B13E10"/>
    <w:rsid w:val="00B20910"/>
    <w:rsid w:val="00B22CF2"/>
    <w:rsid w:val="00B255F9"/>
    <w:rsid w:val="00B27A42"/>
    <w:rsid w:val="00B3191C"/>
    <w:rsid w:val="00B3243D"/>
    <w:rsid w:val="00B33E8E"/>
    <w:rsid w:val="00B355E1"/>
    <w:rsid w:val="00B36216"/>
    <w:rsid w:val="00B37055"/>
    <w:rsid w:val="00B371BE"/>
    <w:rsid w:val="00B42BCD"/>
    <w:rsid w:val="00B447C3"/>
    <w:rsid w:val="00B45E03"/>
    <w:rsid w:val="00B472A6"/>
    <w:rsid w:val="00B47D95"/>
    <w:rsid w:val="00B56171"/>
    <w:rsid w:val="00B566D8"/>
    <w:rsid w:val="00B56828"/>
    <w:rsid w:val="00B576C6"/>
    <w:rsid w:val="00B6064E"/>
    <w:rsid w:val="00B705FC"/>
    <w:rsid w:val="00B73984"/>
    <w:rsid w:val="00B74911"/>
    <w:rsid w:val="00B757A7"/>
    <w:rsid w:val="00B84DF1"/>
    <w:rsid w:val="00B85E48"/>
    <w:rsid w:val="00B901A6"/>
    <w:rsid w:val="00B91243"/>
    <w:rsid w:val="00BA17F4"/>
    <w:rsid w:val="00BA4748"/>
    <w:rsid w:val="00BA4CD3"/>
    <w:rsid w:val="00BB1F1A"/>
    <w:rsid w:val="00BB2026"/>
    <w:rsid w:val="00BB5252"/>
    <w:rsid w:val="00BB53EE"/>
    <w:rsid w:val="00BB5BD4"/>
    <w:rsid w:val="00BB6E2F"/>
    <w:rsid w:val="00BB7892"/>
    <w:rsid w:val="00BC3860"/>
    <w:rsid w:val="00BC76C3"/>
    <w:rsid w:val="00BD350F"/>
    <w:rsid w:val="00BE2D10"/>
    <w:rsid w:val="00BE35E3"/>
    <w:rsid w:val="00BE44B2"/>
    <w:rsid w:val="00BF7FA2"/>
    <w:rsid w:val="00C00506"/>
    <w:rsid w:val="00C0167D"/>
    <w:rsid w:val="00C03152"/>
    <w:rsid w:val="00C03E80"/>
    <w:rsid w:val="00C0462F"/>
    <w:rsid w:val="00C052F8"/>
    <w:rsid w:val="00C05CB9"/>
    <w:rsid w:val="00C06416"/>
    <w:rsid w:val="00C07800"/>
    <w:rsid w:val="00C14C9E"/>
    <w:rsid w:val="00C14EA7"/>
    <w:rsid w:val="00C162FF"/>
    <w:rsid w:val="00C21177"/>
    <w:rsid w:val="00C22046"/>
    <w:rsid w:val="00C25131"/>
    <w:rsid w:val="00C26267"/>
    <w:rsid w:val="00C27093"/>
    <w:rsid w:val="00C304CC"/>
    <w:rsid w:val="00C314B8"/>
    <w:rsid w:val="00C319F6"/>
    <w:rsid w:val="00C356A6"/>
    <w:rsid w:val="00C41DA9"/>
    <w:rsid w:val="00C4566B"/>
    <w:rsid w:val="00C47BDA"/>
    <w:rsid w:val="00C615A2"/>
    <w:rsid w:val="00C6273F"/>
    <w:rsid w:val="00C63545"/>
    <w:rsid w:val="00C7712A"/>
    <w:rsid w:val="00C779A0"/>
    <w:rsid w:val="00C80218"/>
    <w:rsid w:val="00C8138C"/>
    <w:rsid w:val="00C81CD2"/>
    <w:rsid w:val="00C826BD"/>
    <w:rsid w:val="00C8300E"/>
    <w:rsid w:val="00C85396"/>
    <w:rsid w:val="00C85B65"/>
    <w:rsid w:val="00C92255"/>
    <w:rsid w:val="00C929DE"/>
    <w:rsid w:val="00C942D7"/>
    <w:rsid w:val="00C949C4"/>
    <w:rsid w:val="00C96DD6"/>
    <w:rsid w:val="00C96FA3"/>
    <w:rsid w:val="00CA187C"/>
    <w:rsid w:val="00CA397A"/>
    <w:rsid w:val="00CA6B19"/>
    <w:rsid w:val="00CA7219"/>
    <w:rsid w:val="00CA7826"/>
    <w:rsid w:val="00CA7B22"/>
    <w:rsid w:val="00CB1604"/>
    <w:rsid w:val="00CB3ED1"/>
    <w:rsid w:val="00CB64F6"/>
    <w:rsid w:val="00CC02AD"/>
    <w:rsid w:val="00CC0C13"/>
    <w:rsid w:val="00CC1A31"/>
    <w:rsid w:val="00CC33B3"/>
    <w:rsid w:val="00CC409F"/>
    <w:rsid w:val="00CC5CB7"/>
    <w:rsid w:val="00CC5D7F"/>
    <w:rsid w:val="00CD3E0D"/>
    <w:rsid w:val="00CD4E70"/>
    <w:rsid w:val="00CD6620"/>
    <w:rsid w:val="00CE02B3"/>
    <w:rsid w:val="00CE1A98"/>
    <w:rsid w:val="00CE310C"/>
    <w:rsid w:val="00CE6E02"/>
    <w:rsid w:val="00CE7EFF"/>
    <w:rsid w:val="00CF4FEC"/>
    <w:rsid w:val="00CF7D34"/>
    <w:rsid w:val="00D029EB"/>
    <w:rsid w:val="00D033FF"/>
    <w:rsid w:val="00D042C4"/>
    <w:rsid w:val="00D046C0"/>
    <w:rsid w:val="00D0507A"/>
    <w:rsid w:val="00D05BA7"/>
    <w:rsid w:val="00D11872"/>
    <w:rsid w:val="00D12113"/>
    <w:rsid w:val="00D129C7"/>
    <w:rsid w:val="00D141EA"/>
    <w:rsid w:val="00D14B0A"/>
    <w:rsid w:val="00D1636B"/>
    <w:rsid w:val="00D17193"/>
    <w:rsid w:val="00D210F8"/>
    <w:rsid w:val="00D2152C"/>
    <w:rsid w:val="00D240F3"/>
    <w:rsid w:val="00D2448B"/>
    <w:rsid w:val="00D26B90"/>
    <w:rsid w:val="00D26D8A"/>
    <w:rsid w:val="00D30546"/>
    <w:rsid w:val="00D33477"/>
    <w:rsid w:val="00D34507"/>
    <w:rsid w:val="00D40867"/>
    <w:rsid w:val="00D40BF8"/>
    <w:rsid w:val="00D52A68"/>
    <w:rsid w:val="00D53C38"/>
    <w:rsid w:val="00D549A2"/>
    <w:rsid w:val="00D56FE3"/>
    <w:rsid w:val="00D634AC"/>
    <w:rsid w:val="00D665C0"/>
    <w:rsid w:val="00D80141"/>
    <w:rsid w:val="00D810BA"/>
    <w:rsid w:val="00D81772"/>
    <w:rsid w:val="00D823E1"/>
    <w:rsid w:val="00D827E8"/>
    <w:rsid w:val="00D83CCC"/>
    <w:rsid w:val="00D84F38"/>
    <w:rsid w:val="00D8705C"/>
    <w:rsid w:val="00D90722"/>
    <w:rsid w:val="00D92849"/>
    <w:rsid w:val="00D9359D"/>
    <w:rsid w:val="00D937DF"/>
    <w:rsid w:val="00D946B1"/>
    <w:rsid w:val="00D95ADE"/>
    <w:rsid w:val="00D9657B"/>
    <w:rsid w:val="00DA26C4"/>
    <w:rsid w:val="00DA721F"/>
    <w:rsid w:val="00DB2D7B"/>
    <w:rsid w:val="00DC00BD"/>
    <w:rsid w:val="00DC1704"/>
    <w:rsid w:val="00DC5D1A"/>
    <w:rsid w:val="00DC6795"/>
    <w:rsid w:val="00DD01B0"/>
    <w:rsid w:val="00DD4CF5"/>
    <w:rsid w:val="00DD4D52"/>
    <w:rsid w:val="00DE086E"/>
    <w:rsid w:val="00DE139B"/>
    <w:rsid w:val="00DE1984"/>
    <w:rsid w:val="00DE6877"/>
    <w:rsid w:val="00DF2021"/>
    <w:rsid w:val="00DF3156"/>
    <w:rsid w:val="00DF42AF"/>
    <w:rsid w:val="00DF49AB"/>
    <w:rsid w:val="00DF4C8D"/>
    <w:rsid w:val="00E037AF"/>
    <w:rsid w:val="00E04AEE"/>
    <w:rsid w:val="00E04E30"/>
    <w:rsid w:val="00E05D9A"/>
    <w:rsid w:val="00E070E2"/>
    <w:rsid w:val="00E0777B"/>
    <w:rsid w:val="00E10030"/>
    <w:rsid w:val="00E10755"/>
    <w:rsid w:val="00E11A2F"/>
    <w:rsid w:val="00E139C3"/>
    <w:rsid w:val="00E13F78"/>
    <w:rsid w:val="00E14AF7"/>
    <w:rsid w:val="00E17649"/>
    <w:rsid w:val="00E20BBC"/>
    <w:rsid w:val="00E23B1B"/>
    <w:rsid w:val="00E2789A"/>
    <w:rsid w:val="00E30084"/>
    <w:rsid w:val="00E302C7"/>
    <w:rsid w:val="00E305D9"/>
    <w:rsid w:val="00E3167C"/>
    <w:rsid w:val="00E31AE7"/>
    <w:rsid w:val="00E32F72"/>
    <w:rsid w:val="00E363DA"/>
    <w:rsid w:val="00E36CF0"/>
    <w:rsid w:val="00E37D74"/>
    <w:rsid w:val="00E429BA"/>
    <w:rsid w:val="00E42BC9"/>
    <w:rsid w:val="00E457DB"/>
    <w:rsid w:val="00E46163"/>
    <w:rsid w:val="00E46F4D"/>
    <w:rsid w:val="00E5019C"/>
    <w:rsid w:val="00E50A5D"/>
    <w:rsid w:val="00E50B6B"/>
    <w:rsid w:val="00E50D5D"/>
    <w:rsid w:val="00E60FA0"/>
    <w:rsid w:val="00E6301D"/>
    <w:rsid w:val="00E636BD"/>
    <w:rsid w:val="00E649AF"/>
    <w:rsid w:val="00E66869"/>
    <w:rsid w:val="00E71EDD"/>
    <w:rsid w:val="00E73063"/>
    <w:rsid w:val="00E76649"/>
    <w:rsid w:val="00E80E9B"/>
    <w:rsid w:val="00E82D3F"/>
    <w:rsid w:val="00E83B3D"/>
    <w:rsid w:val="00E85B2D"/>
    <w:rsid w:val="00E90BE3"/>
    <w:rsid w:val="00E9304F"/>
    <w:rsid w:val="00E933C9"/>
    <w:rsid w:val="00E9544D"/>
    <w:rsid w:val="00E971AA"/>
    <w:rsid w:val="00E97330"/>
    <w:rsid w:val="00EA0B6B"/>
    <w:rsid w:val="00EA1F2E"/>
    <w:rsid w:val="00EB0D6E"/>
    <w:rsid w:val="00EB2D3A"/>
    <w:rsid w:val="00EB3EDF"/>
    <w:rsid w:val="00EB7406"/>
    <w:rsid w:val="00EC1B56"/>
    <w:rsid w:val="00EC1F5E"/>
    <w:rsid w:val="00EC42F8"/>
    <w:rsid w:val="00EC4699"/>
    <w:rsid w:val="00ED4E75"/>
    <w:rsid w:val="00ED6837"/>
    <w:rsid w:val="00ED7456"/>
    <w:rsid w:val="00EE3E7B"/>
    <w:rsid w:val="00EE53BB"/>
    <w:rsid w:val="00EE6BEB"/>
    <w:rsid w:val="00EF26F8"/>
    <w:rsid w:val="00EF3B0E"/>
    <w:rsid w:val="00EF60B6"/>
    <w:rsid w:val="00EF7837"/>
    <w:rsid w:val="00F00B5B"/>
    <w:rsid w:val="00F00F9B"/>
    <w:rsid w:val="00F0328B"/>
    <w:rsid w:val="00F039AF"/>
    <w:rsid w:val="00F1087B"/>
    <w:rsid w:val="00F10998"/>
    <w:rsid w:val="00F12151"/>
    <w:rsid w:val="00F14504"/>
    <w:rsid w:val="00F156B3"/>
    <w:rsid w:val="00F157E0"/>
    <w:rsid w:val="00F2001A"/>
    <w:rsid w:val="00F2164D"/>
    <w:rsid w:val="00F248CF"/>
    <w:rsid w:val="00F27D94"/>
    <w:rsid w:val="00F301C5"/>
    <w:rsid w:val="00F40A0F"/>
    <w:rsid w:val="00F41EAB"/>
    <w:rsid w:val="00F42B86"/>
    <w:rsid w:val="00F42BE5"/>
    <w:rsid w:val="00F45EA0"/>
    <w:rsid w:val="00F50907"/>
    <w:rsid w:val="00F513F8"/>
    <w:rsid w:val="00F55724"/>
    <w:rsid w:val="00F55FA0"/>
    <w:rsid w:val="00F5619E"/>
    <w:rsid w:val="00F566E2"/>
    <w:rsid w:val="00F62457"/>
    <w:rsid w:val="00F647CF"/>
    <w:rsid w:val="00F64874"/>
    <w:rsid w:val="00F6638F"/>
    <w:rsid w:val="00F726FB"/>
    <w:rsid w:val="00F739AB"/>
    <w:rsid w:val="00F73C23"/>
    <w:rsid w:val="00F74C4A"/>
    <w:rsid w:val="00F74FC8"/>
    <w:rsid w:val="00F75A14"/>
    <w:rsid w:val="00F7714C"/>
    <w:rsid w:val="00F7748E"/>
    <w:rsid w:val="00F801EF"/>
    <w:rsid w:val="00F81952"/>
    <w:rsid w:val="00F84BB1"/>
    <w:rsid w:val="00F9391E"/>
    <w:rsid w:val="00F94B23"/>
    <w:rsid w:val="00F955B9"/>
    <w:rsid w:val="00F95ADF"/>
    <w:rsid w:val="00FA227D"/>
    <w:rsid w:val="00FA371D"/>
    <w:rsid w:val="00FA53CF"/>
    <w:rsid w:val="00FA5C6F"/>
    <w:rsid w:val="00FA6CDD"/>
    <w:rsid w:val="00FA70E8"/>
    <w:rsid w:val="00FB3C79"/>
    <w:rsid w:val="00FB49EE"/>
    <w:rsid w:val="00FC0C2C"/>
    <w:rsid w:val="00FC1A9F"/>
    <w:rsid w:val="00FC3326"/>
    <w:rsid w:val="00FC50AE"/>
    <w:rsid w:val="00FC54BC"/>
    <w:rsid w:val="00FC5BC0"/>
    <w:rsid w:val="00FD0F96"/>
    <w:rsid w:val="00FD5841"/>
    <w:rsid w:val="00FD5F6A"/>
    <w:rsid w:val="00FD783F"/>
    <w:rsid w:val="00FE0A78"/>
    <w:rsid w:val="00FE2A6E"/>
    <w:rsid w:val="00FF2A49"/>
    <w:rsid w:val="01E542E7"/>
    <w:rsid w:val="01E925F2"/>
    <w:rsid w:val="02624152"/>
    <w:rsid w:val="03655CA8"/>
    <w:rsid w:val="04DF5F2E"/>
    <w:rsid w:val="06023C82"/>
    <w:rsid w:val="06316315"/>
    <w:rsid w:val="0757624F"/>
    <w:rsid w:val="07CF228A"/>
    <w:rsid w:val="09613EC5"/>
    <w:rsid w:val="0AB45767"/>
    <w:rsid w:val="0C896C30"/>
    <w:rsid w:val="0ED51116"/>
    <w:rsid w:val="0EE90538"/>
    <w:rsid w:val="13F54834"/>
    <w:rsid w:val="14050EFF"/>
    <w:rsid w:val="14F11A91"/>
    <w:rsid w:val="15190FE8"/>
    <w:rsid w:val="1A651EAD"/>
    <w:rsid w:val="1A6A1AD4"/>
    <w:rsid w:val="1B012302"/>
    <w:rsid w:val="1D602818"/>
    <w:rsid w:val="1D9236E6"/>
    <w:rsid w:val="20052895"/>
    <w:rsid w:val="20504664"/>
    <w:rsid w:val="20DF4E94"/>
    <w:rsid w:val="21A06DE0"/>
    <w:rsid w:val="21D7727C"/>
    <w:rsid w:val="24301410"/>
    <w:rsid w:val="254C3BA3"/>
    <w:rsid w:val="26404627"/>
    <w:rsid w:val="26461511"/>
    <w:rsid w:val="26CA78D4"/>
    <w:rsid w:val="27077154"/>
    <w:rsid w:val="278C73F8"/>
    <w:rsid w:val="27AC7A9A"/>
    <w:rsid w:val="28125B4F"/>
    <w:rsid w:val="298F1421"/>
    <w:rsid w:val="29ED6E20"/>
    <w:rsid w:val="2AAB228B"/>
    <w:rsid w:val="2AE35DF6"/>
    <w:rsid w:val="2CF47537"/>
    <w:rsid w:val="2EF456FA"/>
    <w:rsid w:val="2FA554FB"/>
    <w:rsid w:val="2FDE27BA"/>
    <w:rsid w:val="301B57BD"/>
    <w:rsid w:val="30B8300C"/>
    <w:rsid w:val="31F369F1"/>
    <w:rsid w:val="34F0546A"/>
    <w:rsid w:val="37103BA1"/>
    <w:rsid w:val="39CC60C1"/>
    <w:rsid w:val="3AE03640"/>
    <w:rsid w:val="3D025872"/>
    <w:rsid w:val="401218E5"/>
    <w:rsid w:val="416F5968"/>
    <w:rsid w:val="43370708"/>
    <w:rsid w:val="442A3DC9"/>
    <w:rsid w:val="44EB0E9C"/>
    <w:rsid w:val="44FA7C3F"/>
    <w:rsid w:val="45471D9C"/>
    <w:rsid w:val="47A324A9"/>
    <w:rsid w:val="48934632"/>
    <w:rsid w:val="48D32C81"/>
    <w:rsid w:val="48FD5F50"/>
    <w:rsid w:val="49282FCC"/>
    <w:rsid w:val="4A0A6440"/>
    <w:rsid w:val="4A1B742A"/>
    <w:rsid w:val="4A7E09CA"/>
    <w:rsid w:val="4ACF0DD8"/>
    <w:rsid w:val="4E516B22"/>
    <w:rsid w:val="4EA8070C"/>
    <w:rsid w:val="503F29AA"/>
    <w:rsid w:val="51482B1D"/>
    <w:rsid w:val="521640C9"/>
    <w:rsid w:val="53C10C89"/>
    <w:rsid w:val="53FD152D"/>
    <w:rsid w:val="54774E08"/>
    <w:rsid w:val="55BF3D8C"/>
    <w:rsid w:val="589870FB"/>
    <w:rsid w:val="59D14FBA"/>
    <w:rsid w:val="5AD112D9"/>
    <w:rsid w:val="5C6E074F"/>
    <w:rsid w:val="5CE13766"/>
    <w:rsid w:val="5D00385A"/>
    <w:rsid w:val="5D810AA5"/>
    <w:rsid w:val="5E3E0745"/>
    <w:rsid w:val="5E4F2952"/>
    <w:rsid w:val="612956DC"/>
    <w:rsid w:val="61637387"/>
    <w:rsid w:val="61923281"/>
    <w:rsid w:val="6445282D"/>
    <w:rsid w:val="644B5969"/>
    <w:rsid w:val="64D520B5"/>
    <w:rsid w:val="650C6EA7"/>
    <w:rsid w:val="668A2779"/>
    <w:rsid w:val="66F25116"/>
    <w:rsid w:val="678673E4"/>
    <w:rsid w:val="68D0643D"/>
    <w:rsid w:val="6C517895"/>
    <w:rsid w:val="6D4D2752"/>
    <w:rsid w:val="6E3851B0"/>
    <w:rsid w:val="6E454A88"/>
    <w:rsid w:val="6F0B6421"/>
    <w:rsid w:val="6FD627F6"/>
    <w:rsid w:val="6FDD0E43"/>
    <w:rsid w:val="702754DC"/>
    <w:rsid w:val="70526A0A"/>
    <w:rsid w:val="70981F36"/>
    <w:rsid w:val="733B7B01"/>
    <w:rsid w:val="74D13C69"/>
    <w:rsid w:val="75377F70"/>
    <w:rsid w:val="767E2207"/>
    <w:rsid w:val="769A41DB"/>
    <w:rsid w:val="76B4739E"/>
    <w:rsid w:val="77170059"/>
    <w:rsid w:val="776F0C3F"/>
    <w:rsid w:val="77901BB9"/>
    <w:rsid w:val="786A09B8"/>
    <w:rsid w:val="787B63C5"/>
    <w:rsid w:val="791906D8"/>
    <w:rsid w:val="7E3C2394"/>
    <w:rsid w:val="7E722019"/>
    <w:rsid w:val="7ED22AB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ascii="Times New Roman" w:hAnsi="Times New Roman" w:eastAsia="宋体" w:cstheme="minorBidi"/>
      <w:kern w:val="2"/>
      <w:sz w:val="28"/>
      <w:szCs w:val="22"/>
      <w:lang w:val="en-US" w:eastAsia="zh-CN" w:bidi="ar-SA"/>
    </w:rPr>
  </w:style>
  <w:style w:type="paragraph" w:styleId="2">
    <w:name w:val="heading 1"/>
    <w:basedOn w:val="1"/>
    <w:next w:val="1"/>
    <w:link w:val="22"/>
    <w:qFormat/>
    <w:uiPriority w:val="9"/>
    <w:pPr>
      <w:keepNext/>
      <w:keepLines/>
      <w:numPr>
        <w:ilvl w:val="0"/>
        <w:numId w:val="1"/>
      </w:numPr>
      <w:spacing w:before="50" w:beforeLines="50" w:after="50" w:afterLines="50"/>
      <w:outlineLvl w:val="0"/>
    </w:pPr>
    <w:rPr>
      <w:rFonts w:eastAsia="黑体"/>
      <w:bCs/>
      <w:kern w:val="44"/>
      <w:sz w:val="32"/>
      <w:szCs w:val="44"/>
    </w:rPr>
  </w:style>
  <w:style w:type="paragraph" w:styleId="3">
    <w:name w:val="heading 2"/>
    <w:basedOn w:val="1"/>
    <w:next w:val="1"/>
    <w:link w:val="23"/>
    <w:unhideWhenUsed/>
    <w:qFormat/>
    <w:uiPriority w:val="9"/>
    <w:pPr>
      <w:keepLines/>
      <w:numPr>
        <w:ilvl w:val="1"/>
        <w:numId w:val="1"/>
      </w:numPr>
      <w:spacing w:before="50" w:beforeLines="50" w:after="50" w:afterLines="50"/>
      <w:ind w:left="0" w:firstLine="0"/>
      <w:outlineLvl w:val="1"/>
    </w:pPr>
    <w:rPr>
      <w:rFonts w:eastAsia="黑体" w:cstheme="majorBidi"/>
      <w:bCs/>
      <w:szCs w:val="32"/>
    </w:rPr>
  </w:style>
  <w:style w:type="paragraph" w:styleId="4">
    <w:name w:val="heading 3"/>
    <w:basedOn w:val="1"/>
    <w:next w:val="1"/>
    <w:link w:val="24"/>
    <w:unhideWhenUsed/>
    <w:qFormat/>
    <w:uiPriority w:val="9"/>
    <w:pPr>
      <w:numPr>
        <w:ilvl w:val="2"/>
        <w:numId w:val="1"/>
      </w:numPr>
      <w:ind w:left="0" w:firstLine="0"/>
      <w:outlineLvl w:val="2"/>
    </w:pPr>
    <w:rPr>
      <w:bCs/>
      <w:szCs w:val="32"/>
    </w:rPr>
  </w:style>
  <w:style w:type="paragraph" w:styleId="5">
    <w:name w:val="heading 4"/>
    <w:basedOn w:val="1"/>
    <w:next w:val="1"/>
    <w:link w:val="38"/>
    <w:semiHidden/>
    <w:unhideWhenUsed/>
    <w:qFormat/>
    <w:uiPriority w:val="9"/>
    <w:pPr>
      <w:keepNext/>
      <w:keepLines/>
      <w:spacing w:before="280" w:after="290" w:line="376" w:lineRule="auto"/>
      <w:outlineLvl w:val="3"/>
    </w:pPr>
    <w:rPr>
      <w:rFonts w:asciiTheme="majorHAnsi" w:hAnsiTheme="majorHAnsi" w:eastAsiaTheme="majorEastAsia" w:cstheme="majorBidi"/>
      <w:b/>
      <w:bCs/>
      <w:szCs w:val="28"/>
    </w:rPr>
  </w:style>
  <w:style w:type="character" w:default="1" w:styleId="15">
    <w:name w:val="Default Paragraph Font"/>
    <w:semiHidden/>
    <w:unhideWhenUsed/>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6">
    <w:name w:val="toc 3"/>
    <w:basedOn w:val="1"/>
    <w:next w:val="1"/>
    <w:autoRedefine/>
    <w:unhideWhenUsed/>
    <w:qFormat/>
    <w:uiPriority w:val="39"/>
    <w:pPr>
      <w:ind w:left="840" w:leftChars="400"/>
    </w:pPr>
  </w:style>
  <w:style w:type="paragraph" w:styleId="7">
    <w:name w:val="Balloon Text"/>
    <w:basedOn w:val="1"/>
    <w:link w:val="37"/>
    <w:semiHidden/>
    <w:unhideWhenUsed/>
    <w:qFormat/>
    <w:uiPriority w:val="99"/>
    <w:rPr>
      <w:sz w:val="18"/>
      <w:szCs w:val="18"/>
    </w:rPr>
  </w:style>
  <w:style w:type="paragraph" w:styleId="8">
    <w:name w:val="footer"/>
    <w:basedOn w:val="1"/>
    <w:link w:val="20"/>
    <w:unhideWhenUsed/>
    <w:qFormat/>
    <w:uiPriority w:val="99"/>
    <w:pPr>
      <w:tabs>
        <w:tab w:val="center" w:pos="4153"/>
        <w:tab w:val="right" w:pos="8306"/>
      </w:tabs>
      <w:snapToGrid w:val="0"/>
    </w:pPr>
    <w:rPr>
      <w:sz w:val="18"/>
      <w:szCs w:val="18"/>
    </w:rPr>
  </w:style>
  <w:style w:type="paragraph" w:styleId="9">
    <w:name w:val="header"/>
    <w:basedOn w:val="1"/>
    <w:link w:val="19"/>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autoRedefine/>
    <w:unhideWhenUsed/>
    <w:qFormat/>
    <w:uiPriority w:val="39"/>
  </w:style>
  <w:style w:type="paragraph" w:styleId="11">
    <w:name w:val="toc 2"/>
    <w:basedOn w:val="1"/>
    <w:next w:val="1"/>
    <w:autoRedefine/>
    <w:unhideWhenUsed/>
    <w:qFormat/>
    <w:uiPriority w:val="39"/>
    <w:pPr>
      <w:ind w:left="420" w:leftChars="200"/>
    </w:pPr>
  </w:style>
  <w:style w:type="paragraph" w:styleId="12">
    <w:name w:val="Normal (Web)"/>
    <w:basedOn w:val="1"/>
    <w:semiHidden/>
    <w:unhideWhenUsed/>
    <w:qFormat/>
    <w:uiPriority w:val="99"/>
    <w:pPr>
      <w:widowControl/>
      <w:spacing w:before="100" w:beforeAutospacing="1" w:after="100" w:afterAutospacing="1"/>
    </w:pPr>
    <w:rPr>
      <w:rFonts w:ascii="宋体" w:hAnsi="宋体" w:cs="宋体"/>
      <w:kern w:val="0"/>
      <w:sz w:val="24"/>
      <w:szCs w:val="24"/>
    </w:rPr>
  </w:style>
  <w:style w:type="table" w:styleId="14">
    <w:name w:val="Table Grid"/>
    <w:basedOn w:val="1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qFormat/>
    <w:uiPriority w:val="22"/>
    <w:rPr>
      <w:b/>
      <w:bCs/>
    </w:rPr>
  </w:style>
  <w:style w:type="character" w:styleId="17">
    <w:name w:val="Emphasis"/>
    <w:basedOn w:val="15"/>
    <w:qFormat/>
    <w:uiPriority w:val="20"/>
    <w:rPr>
      <w:i/>
      <w:iCs/>
    </w:rPr>
  </w:style>
  <w:style w:type="character" w:styleId="18">
    <w:name w:val="Hyperlink"/>
    <w:basedOn w:val="15"/>
    <w:unhideWhenUsed/>
    <w:qFormat/>
    <w:uiPriority w:val="99"/>
    <w:rPr>
      <w:color w:val="0563C1" w:themeColor="hyperlink"/>
      <w:u w:val="single"/>
      <w14:textFill>
        <w14:solidFill>
          <w14:schemeClr w14:val="hlink"/>
        </w14:solidFill>
      </w14:textFill>
    </w:rPr>
  </w:style>
  <w:style w:type="character" w:customStyle="1" w:styleId="19">
    <w:name w:val="页眉 字符"/>
    <w:basedOn w:val="15"/>
    <w:link w:val="9"/>
    <w:qFormat/>
    <w:uiPriority w:val="99"/>
    <w:rPr>
      <w:sz w:val="18"/>
      <w:szCs w:val="18"/>
    </w:rPr>
  </w:style>
  <w:style w:type="character" w:customStyle="1" w:styleId="20">
    <w:name w:val="页脚 字符"/>
    <w:basedOn w:val="15"/>
    <w:link w:val="8"/>
    <w:qFormat/>
    <w:uiPriority w:val="99"/>
    <w:rPr>
      <w:sz w:val="18"/>
      <w:szCs w:val="18"/>
    </w:rPr>
  </w:style>
  <w:style w:type="paragraph" w:styleId="21">
    <w:name w:val="List Paragraph"/>
    <w:basedOn w:val="1"/>
    <w:qFormat/>
    <w:uiPriority w:val="34"/>
    <w:pPr>
      <w:ind w:firstLine="420" w:firstLineChars="200"/>
    </w:pPr>
  </w:style>
  <w:style w:type="character" w:customStyle="1" w:styleId="22">
    <w:name w:val="标题 1 字符"/>
    <w:basedOn w:val="15"/>
    <w:link w:val="2"/>
    <w:qFormat/>
    <w:uiPriority w:val="9"/>
    <w:rPr>
      <w:rFonts w:ascii="Times New Roman" w:hAnsi="Times New Roman" w:eastAsia="黑体"/>
      <w:bCs/>
      <w:kern w:val="44"/>
      <w:sz w:val="32"/>
      <w:szCs w:val="44"/>
    </w:rPr>
  </w:style>
  <w:style w:type="character" w:customStyle="1" w:styleId="23">
    <w:name w:val="标题 2 字符"/>
    <w:basedOn w:val="15"/>
    <w:link w:val="3"/>
    <w:qFormat/>
    <w:uiPriority w:val="9"/>
    <w:rPr>
      <w:rFonts w:ascii="Times New Roman" w:hAnsi="Times New Roman" w:eastAsia="黑体" w:cstheme="majorBidi"/>
      <w:bCs/>
      <w:kern w:val="2"/>
      <w:sz w:val="28"/>
      <w:szCs w:val="32"/>
    </w:rPr>
  </w:style>
  <w:style w:type="character" w:customStyle="1" w:styleId="24">
    <w:name w:val="标题 3 字符"/>
    <w:basedOn w:val="15"/>
    <w:link w:val="4"/>
    <w:qFormat/>
    <w:uiPriority w:val="9"/>
    <w:rPr>
      <w:rFonts w:ascii="Times New Roman" w:hAnsi="Times New Roman" w:eastAsia="宋体"/>
      <w:bCs/>
      <w:kern w:val="2"/>
      <w:sz w:val="28"/>
      <w:szCs w:val="32"/>
    </w:rPr>
  </w:style>
  <w:style w:type="paragraph" w:customStyle="1" w:styleId="25">
    <w:name w:val="TOC 标题1"/>
    <w:basedOn w:val="2"/>
    <w:next w:val="1"/>
    <w:unhideWhenUsed/>
    <w:qFormat/>
    <w:uiPriority w:val="39"/>
    <w:pPr>
      <w:widowControl/>
      <w:numPr>
        <w:numId w:val="0"/>
      </w:numPr>
      <w:spacing w:before="240" w:beforeLines="0" w:after="0" w:afterLines="0" w:line="259" w:lineRule="auto"/>
      <w:outlineLvl w:val="9"/>
    </w:pPr>
    <w:rPr>
      <w:rFonts w:asciiTheme="majorHAnsi" w:hAnsiTheme="majorHAnsi" w:eastAsiaTheme="majorEastAsia" w:cstheme="majorBidi"/>
      <w:bCs w:val="0"/>
      <w:color w:val="2F5597" w:themeColor="accent1" w:themeShade="BF"/>
      <w:kern w:val="0"/>
      <w:szCs w:val="32"/>
    </w:rPr>
  </w:style>
  <w:style w:type="paragraph" w:customStyle="1" w:styleId="26">
    <w:name w:val="标准文件_段"/>
    <w:link w:val="34"/>
    <w:qFormat/>
    <w:uiPriority w:val="0"/>
    <w:pPr>
      <w:autoSpaceDE w:val="0"/>
      <w:autoSpaceDN w:val="0"/>
      <w:ind w:left="200" w:leftChars="200" w:firstLine="200" w:firstLineChars="200"/>
      <w:jc w:val="both"/>
    </w:pPr>
    <w:rPr>
      <w:rFonts w:ascii="Times New Roman" w:hAnsi="Times New Roman" w:eastAsia="宋体" w:cs="Times New Roman"/>
      <w:sz w:val="24"/>
      <w:lang w:val="en-US" w:eastAsia="zh-CN" w:bidi="ar-SA"/>
    </w:rPr>
  </w:style>
  <w:style w:type="paragraph" w:customStyle="1" w:styleId="27">
    <w:name w:val="标准文件_二级条标题"/>
    <w:next w:val="26"/>
    <w:qFormat/>
    <w:uiPriority w:val="0"/>
    <w:pPr>
      <w:widowControl w:val="0"/>
      <w:numPr>
        <w:ilvl w:val="3"/>
        <w:numId w:val="2"/>
      </w:numPr>
      <w:spacing w:before="50" w:beforeLines="50" w:after="50" w:afterLines="50"/>
      <w:jc w:val="both"/>
      <w:outlineLvl w:val="2"/>
    </w:pPr>
    <w:rPr>
      <w:rFonts w:ascii="黑体" w:hAnsi="Times New Roman" w:eastAsia="黑体" w:cs="Times New Roman"/>
      <w:sz w:val="21"/>
      <w:lang w:val="en-US" w:eastAsia="zh-CN" w:bidi="ar-SA"/>
    </w:rPr>
  </w:style>
  <w:style w:type="paragraph" w:customStyle="1" w:styleId="28">
    <w:name w:val="标准文件_三级条标题"/>
    <w:basedOn w:val="27"/>
    <w:next w:val="26"/>
    <w:qFormat/>
    <w:uiPriority w:val="0"/>
    <w:pPr>
      <w:widowControl/>
      <w:numPr>
        <w:ilvl w:val="4"/>
      </w:numPr>
      <w:outlineLvl w:val="3"/>
    </w:pPr>
  </w:style>
  <w:style w:type="paragraph" w:customStyle="1" w:styleId="29">
    <w:name w:val="标准文件_四级条标题"/>
    <w:next w:val="26"/>
    <w:qFormat/>
    <w:uiPriority w:val="0"/>
    <w:pPr>
      <w:widowControl w:val="0"/>
      <w:numPr>
        <w:ilvl w:val="5"/>
        <w:numId w:val="2"/>
      </w:numPr>
      <w:spacing w:before="50" w:beforeLines="50" w:after="50" w:afterLines="50"/>
      <w:jc w:val="both"/>
      <w:outlineLvl w:val="4"/>
    </w:pPr>
    <w:rPr>
      <w:rFonts w:ascii="黑体" w:hAnsi="Times New Roman" w:eastAsia="黑体" w:cs="Times New Roman"/>
      <w:sz w:val="21"/>
      <w:lang w:val="en-US" w:eastAsia="zh-CN" w:bidi="ar-SA"/>
    </w:rPr>
  </w:style>
  <w:style w:type="paragraph" w:customStyle="1" w:styleId="30">
    <w:name w:val="标准文件_五级条标题"/>
    <w:next w:val="26"/>
    <w:qFormat/>
    <w:uiPriority w:val="0"/>
    <w:pPr>
      <w:widowControl w:val="0"/>
      <w:numPr>
        <w:ilvl w:val="6"/>
        <w:numId w:val="2"/>
      </w:numPr>
      <w:spacing w:before="50" w:beforeLines="50" w:after="50" w:afterLines="50"/>
      <w:jc w:val="both"/>
      <w:outlineLvl w:val="5"/>
    </w:pPr>
    <w:rPr>
      <w:rFonts w:ascii="黑体" w:hAnsi="Times New Roman" w:eastAsia="黑体" w:cs="Times New Roman"/>
      <w:sz w:val="21"/>
      <w:lang w:val="en-US" w:eastAsia="zh-CN" w:bidi="ar-SA"/>
    </w:rPr>
  </w:style>
  <w:style w:type="paragraph" w:customStyle="1" w:styleId="31">
    <w:name w:val="章标题1"/>
    <w:next w:val="26"/>
    <w:qFormat/>
    <w:uiPriority w:val="0"/>
    <w:pPr>
      <w:numPr>
        <w:ilvl w:val="1"/>
        <w:numId w:val="2"/>
      </w:numPr>
      <w:spacing w:before="100" w:beforeLines="100" w:after="100" w:afterLines="100"/>
      <w:jc w:val="both"/>
      <w:outlineLvl w:val="0"/>
    </w:pPr>
    <w:rPr>
      <w:rFonts w:ascii="黑体" w:hAnsi="黑体" w:eastAsia="黑体" w:cs="Times New Roman"/>
      <w:sz w:val="21"/>
      <w:lang w:val="en-US" w:eastAsia="zh-CN" w:bidi="ar-SA"/>
    </w:rPr>
  </w:style>
  <w:style w:type="paragraph" w:customStyle="1" w:styleId="32">
    <w:name w:val="一级条标题"/>
    <w:basedOn w:val="31"/>
    <w:next w:val="26"/>
    <w:qFormat/>
    <w:uiPriority w:val="0"/>
    <w:pPr>
      <w:numPr>
        <w:ilvl w:val="2"/>
      </w:numPr>
      <w:spacing w:before="50" w:beforeLines="50" w:after="50" w:afterLines="50"/>
      <w:outlineLvl w:val="1"/>
    </w:pPr>
  </w:style>
  <w:style w:type="paragraph" w:customStyle="1" w:styleId="33">
    <w:name w:val="前言标题"/>
    <w:next w:val="1"/>
    <w:qFormat/>
    <w:uiPriority w:val="0"/>
    <w:pPr>
      <w:numPr>
        <w:ilvl w:val="0"/>
        <w:numId w:val="2"/>
      </w:numPr>
      <w:shd w:val="clear" w:color="FFFFFF" w:fill="FFFFFF"/>
      <w:spacing w:before="540" w:after="600"/>
      <w:jc w:val="center"/>
      <w:outlineLvl w:val="0"/>
    </w:pPr>
    <w:rPr>
      <w:rFonts w:ascii="黑体" w:hAnsi="Times New Roman" w:eastAsia="黑体" w:cs="Times New Roman"/>
      <w:sz w:val="32"/>
      <w:lang w:val="en-US" w:eastAsia="zh-CN" w:bidi="ar-SA"/>
    </w:rPr>
  </w:style>
  <w:style w:type="character" w:customStyle="1" w:styleId="34">
    <w:name w:val="标准文件_段 Char"/>
    <w:link w:val="26"/>
    <w:qFormat/>
    <w:uiPriority w:val="0"/>
    <w:rPr>
      <w:rFonts w:ascii="Times New Roman" w:hAnsi="Times New Roman" w:eastAsia="宋体" w:cs="Times New Roman"/>
      <w:sz w:val="24"/>
    </w:rPr>
  </w:style>
  <w:style w:type="character" w:customStyle="1" w:styleId="35">
    <w:name w:val="font21"/>
    <w:basedOn w:val="15"/>
    <w:qFormat/>
    <w:uiPriority w:val="0"/>
    <w:rPr>
      <w:rFonts w:hint="eastAsia" w:ascii="宋体" w:hAnsi="宋体" w:eastAsia="宋体" w:cs="宋体"/>
      <w:color w:val="000000"/>
      <w:sz w:val="20"/>
      <w:szCs w:val="20"/>
      <w:u w:val="none"/>
    </w:rPr>
  </w:style>
  <w:style w:type="paragraph" w:customStyle="1" w:styleId="36">
    <w:name w:val="last-node"/>
    <w:basedOn w:val="1"/>
    <w:qFormat/>
    <w:uiPriority w:val="0"/>
    <w:pPr>
      <w:widowControl/>
      <w:spacing w:before="100" w:beforeAutospacing="1" w:after="100" w:afterAutospacing="1"/>
    </w:pPr>
    <w:rPr>
      <w:rFonts w:ascii="宋体" w:hAnsi="宋体" w:cs="宋体"/>
      <w:kern w:val="0"/>
      <w:sz w:val="24"/>
      <w:szCs w:val="24"/>
    </w:rPr>
  </w:style>
  <w:style w:type="character" w:customStyle="1" w:styleId="37">
    <w:name w:val="批注框文本 字符"/>
    <w:basedOn w:val="15"/>
    <w:link w:val="7"/>
    <w:semiHidden/>
    <w:qFormat/>
    <w:uiPriority w:val="99"/>
    <w:rPr>
      <w:sz w:val="18"/>
      <w:szCs w:val="18"/>
    </w:rPr>
  </w:style>
  <w:style w:type="character" w:customStyle="1" w:styleId="38">
    <w:name w:val="标题 4 字符"/>
    <w:basedOn w:val="15"/>
    <w:link w:val="5"/>
    <w:semiHidden/>
    <w:qFormat/>
    <w:uiPriority w:val="9"/>
    <w:rPr>
      <w:rFonts w:asciiTheme="majorHAnsi" w:hAnsiTheme="majorHAnsi" w:eastAsiaTheme="majorEastAsia" w:cstheme="majorBidi"/>
      <w:b/>
      <w:bCs/>
      <w:sz w:val="28"/>
      <w:szCs w:val="28"/>
    </w:rPr>
  </w:style>
  <w:style w:type="paragraph" w:customStyle="1" w:styleId="39">
    <w:name w:val="Defaul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s>
</file>

<file path=word/_rels/document.xml.rels><?xml version="1.0" encoding="UTF-8" standalone="yes"?>
<Relationships xmlns="http://schemas.openxmlformats.org/package/2006/relationships"><Relationship Id="rId91" Type="http://schemas.openxmlformats.org/officeDocument/2006/relationships/fontTable" Target="fontTable.xml"/><Relationship Id="rId90" Type="http://schemas.openxmlformats.org/officeDocument/2006/relationships/customXml" Target="../customXml/item1.xml"/><Relationship Id="rId9" Type="http://schemas.openxmlformats.org/officeDocument/2006/relationships/image" Target="media/image3.png"/><Relationship Id="rId89" Type="http://schemas.openxmlformats.org/officeDocument/2006/relationships/numbering" Target="numbering.xml"/><Relationship Id="rId88" Type="http://schemas.openxmlformats.org/officeDocument/2006/relationships/image" Target="media/image82.jpeg"/><Relationship Id="rId87" Type="http://schemas.openxmlformats.org/officeDocument/2006/relationships/image" Target="media/image81.emf"/><Relationship Id="rId86" Type="http://schemas.openxmlformats.org/officeDocument/2006/relationships/image" Target="media/image80.emf"/><Relationship Id="rId85" Type="http://schemas.openxmlformats.org/officeDocument/2006/relationships/image" Target="media/image79.emf"/><Relationship Id="rId84" Type="http://schemas.openxmlformats.org/officeDocument/2006/relationships/image" Target="media/image78.emf"/><Relationship Id="rId83" Type="http://schemas.openxmlformats.org/officeDocument/2006/relationships/image" Target="media/image77.emf"/><Relationship Id="rId82" Type="http://schemas.openxmlformats.org/officeDocument/2006/relationships/image" Target="media/image76.emf"/><Relationship Id="rId81" Type="http://schemas.openxmlformats.org/officeDocument/2006/relationships/image" Target="media/image75.emf"/><Relationship Id="rId80" Type="http://schemas.openxmlformats.org/officeDocument/2006/relationships/image" Target="media/image74.emf"/><Relationship Id="rId8" Type="http://schemas.openxmlformats.org/officeDocument/2006/relationships/image" Target="media/image2.jpeg"/><Relationship Id="rId79" Type="http://schemas.openxmlformats.org/officeDocument/2006/relationships/image" Target="media/image73.emf"/><Relationship Id="rId78" Type="http://schemas.openxmlformats.org/officeDocument/2006/relationships/image" Target="media/image72.jpe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jpeg"/><Relationship Id="rId74" Type="http://schemas.openxmlformats.org/officeDocument/2006/relationships/image" Target="media/image68.jpeg"/><Relationship Id="rId73" Type="http://schemas.openxmlformats.org/officeDocument/2006/relationships/image" Target="media/image67.jpe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jpeg"/><Relationship Id="rId69" Type="http://schemas.openxmlformats.org/officeDocument/2006/relationships/image" Target="media/image63.pn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png"/><Relationship Id="rId65" Type="http://schemas.openxmlformats.org/officeDocument/2006/relationships/image" Target="media/image59.emf"/><Relationship Id="rId64" Type="http://schemas.openxmlformats.org/officeDocument/2006/relationships/image" Target="media/image58.emf"/><Relationship Id="rId63" Type="http://schemas.openxmlformats.org/officeDocument/2006/relationships/image" Target="media/image57.emf"/><Relationship Id="rId62" Type="http://schemas.openxmlformats.org/officeDocument/2006/relationships/image" Target="media/image56.emf"/><Relationship Id="rId61" Type="http://schemas.openxmlformats.org/officeDocument/2006/relationships/image" Target="media/image55.emf"/><Relationship Id="rId60" Type="http://schemas.openxmlformats.org/officeDocument/2006/relationships/image" Target="media/image54.emf"/><Relationship Id="rId6" Type="http://schemas.openxmlformats.org/officeDocument/2006/relationships/theme" Target="theme/theme1.xml"/><Relationship Id="rId59" Type="http://schemas.openxmlformats.org/officeDocument/2006/relationships/image" Target="media/image53.emf"/><Relationship Id="rId58" Type="http://schemas.openxmlformats.org/officeDocument/2006/relationships/image" Target="media/image52.emf"/><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emf"/><Relationship Id="rId54" Type="http://schemas.openxmlformats.org/officeDocument/2006/relationships/image" Target="media/image48.emf"/><Relationship Id="rId53" Type="http://schemas.openxmlformats.org/officeDocument/2006/relationships/image" Target="media/image47.emf"/><Relationship Id="rId52" Type="http://schemas.openxmlformats.org/officeDocument/2006/relationships/image" Target="media/image46.emf"/><Relationship Id="rId51" Type="http://schemas.openxmlformats.org/officeDocument/2006/relationships/image" Target="media/image45.emf"/><Relationship Id="rId50" Type="http://schemas.openxmlformats.org/officeDocument/2006/relationships/image" Target="media/image44.emf"/><Relationship Id="rId5" Type="http://schemas.openxmlformats.org/officeDocument/2006/relationships/footer" Target="footer3.xml"/><Relationship Id="rId49" Type="http://schemas.openxmlformats.org/officeDocument/2006/relationships/image" Target="media/image43.emf"/><Relationship Id="rId48" Type="http://schemas.openxmlformats.org/officeDocument/2006/relationships/image" Target="media/image42.emf"/><Relationship Id="rId47" Type="http://schemas.openxmlformats.org/officeDocument/2006/relationships/image" Target="media/image41.emf"/><Relationship Id="rId46" Type="http://schemas.openxmlformats.org/officeDocument/2006/relationships/image" Target="media/image40.emf"/><Relationship Id="rId45" Type="http://schemas.openxmlformats.org/officeDocument/2006/relationships/image" Target="media/image39.emf"/><Relationship Id="rId44" Type="http://schemas.openxmlformats.org/officeDocument/2006/relationships/image" Target="media/image38.emf"/><Relationship Id="rId43" Type="http://schemas.openxmlformats.org/officeDocument/2006/relationships/image" Target="media/image37.emf"/><Relationship Id="rId42" Type="http://schemas.openxmlformats.org/officeDocument/2006/relationships/image" Target="media/image36.jpeg"/><Relationship Id="rId41" Type="http://schemas.openxmlformats.org/officeDocument/2006/relationships/image" Target="media/image35.emf"/><Relationship Id="rId40" Type="http://schemas.openxmlformats.org/officeDocument/2006/relationships/image" Target="media/image34.emf"/><Relationship Id="rId4" Type="http://schemas.openxmlformats.org/officeDocument/2006/relationships/footer" Target="footer2.xml"/><Relationship Id="rId39" Type="http://schemas.openxmlformats.org/officeDocument/2006/relationships/image" Target="media/image33.emf"/><Relationship Id="rId38" Type="http://schemas.openxmlformats.org/officeDocument/2006/relationships/image" Target="media/image32.emf"/><Relationship Id="rId37" Type="http://schemas.openxmlformats.org/officeDocument/2006/relationships/image" Target="media/image31.emf"/><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emf"/><Relationship Id="rId32" Type="http://schemas.openxmlformats.org/officeDocument/2006/relationships/image" Target="media/image26.emf"/><Relationship Id="rId31" Type="http://schemas.openxmlformats.org/officeDocument/2006/relationships/image" Target="media/image25.emf"/><Relationship Id="rId30" Type="http://schemas.openxmlformats.org/officeDocument/2006/relationships/image" Target="media/image24.emf"/><Relationship Id="rId3" Type="http://schemas.openxmlformats.org/officeDocument/2006/relationships/footer" Target="footer1.xml"/><Relationship Id="rId29" Type="http://schemas.openxmlformats.org/officeDocument/2006/relationships/image" Target="media/image23.emf"/><Relationship Id="rId28" Type="http://schemas.openxmlformats.org/officeDocument/2006/relationships/image" Target="media/image22.emf"/><Relationship Id="rId27" Type="http://schemas.openxmlformats.org/officeDocument/2006/relationships/image" Target="media/image21.emf"/><Relationship Id="rId26" Type="http://schemas.openxmlformats.org/officeDocument/2006/relationships/image" Target="media/image20.emf"/><Relationship Id="rId25" Type="http://schemas.openxmlformats.org/officeDocument/2006/relationships/image" Target="media/image19.emf"/><Relationship Id="rId24" Type="http://schemas.openxmlformats.org/officeDocument/2006/relationships/image" Target="media/image18.emf"/><Relationship Id="rId23" Type="http://schemas.openxmlformats.org/officeDocument/2006/relationships/image" Target="media/image17.emf"/><Relationship Id="rId22" Type="http://schemas.openxmlformats.org/officeDocument/2006/relationships/image" Target="media/image16.emf"/><Relationship Id="rId21" Type="http://schemas.openxmlformats.org/officeDocument/2006/relationships/image" Target="media/image15.emf"/><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B9D354-DEA1-47C8-80B2-64B8A1AE38F5}">
  <ds:schemaRefs/>
</ds:datastoreItem>
</file>

<file path=docProps/app.xml><?xml version="1.0" encoding="utf-8"?>
<Properties xmlns="http://schemas.openxmlformats.org/officeDocument/2006/extended-properties" xmlns:vt="http://schemas.openxmlformats.org/officeDocument/2006/docPropsVTypes">
  <Template>Normal</Template>
  <Pages>48</Pages>
  <Words>3285</Words>
  <Characters>3514</Characters>
  <Lines>123</Lines>
  <Paragraphs>34</Paragraphs>
  <TotalTime>834</TotalTime>
  <ScaleCrop>false</ScaleCrop>
  <LinksUpToDate>false</LinksUpToDate>
  <CharactersWithSpaces>3712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2024-12-03T06:41:00Z</dcterms:created>
  <dc:creator>杨剑</dc:creator>
  <cp:lastModifiedBy>How</cp:lastModifiedBy>
  <cp:lastPrinted>2024-12-05T08:15:00Z</cp:lastPrinted>
  <dcterms:modified xsi:type="dcterms:W3CDTF">2025-06-11T01:53:16Z</dcterms:modified>
  <cp:revision>1024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eyJoZGlkIjoiMDIwOTUxMmE0MzJkY2M0YTc0YjMxZDJkYjViNWUxZGQiLCJ1c2VySWQiOiIyMzIyOTIyMTYifQ==</vt:lpwstr>
  </property>
  <property fmtid="{D5CDD505-2E9C-101B-9397-08002B2CF9AE}" pid="3" name="KSOProductBuildVer">
    <vt:lpwstr>2052-12.1.0.19770</vt:lpwstr>
  </property>
  <property fmtid="{D5CDD505-2E9C-101B-9397-08002B2CF9AE}" pid="4" name="ICV">
    <vt:lpwstr>525038605EFA44F2A73AA782F176803F_12</vt:lpwstr>
  </property>
</Properties>
</file>